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218" w:rsidP="00FD0BD2" w:rsidRDefault="00FD0BD2" w14:paraId="121E3784" w14:textId="0649B749">
      <w:pPr>
        <w:pStyle w:val="Heading1"/>
      </w:pPr>
      <w:r>
        <w:t xml:space="preserve">Anleihebedingungen </w:t>
      </w:r>
      <w:r>
        <w:br/>
      </w:r>
      <w:r>
        <w:t>der nachrangigen Schuldverschreibungen</w:t>
      </w:r>
      <w:r w:rsidR="006E5470">
        <w:t xml:space="preserve"> </w:t>
      </w:r>
      <w:r w:rsidR="006E5470">
        <w:br/>
      </w:r>
      <w:r w:rsidR="006E5470">
        <w:rPr>
          <w:highlight w:val="yellow"/>
        </w:rPr>
        <w:t>[Emissionsbezeichnung]</w:t>
      </w:r>
      <w:r w:rsidR="006E5470">
        <w:br/>
      </w:r>
      <w:r w:rsidR="006E5470">
        <w:t xml:space="preserve">der </w:t>
      </w:r>
      <w:r w:rsidR="006E5470">
        <w:rPr>
          <w:highlight w:val="yellow"/>
        </w:rPr>
        <w:t>[Emittentin]</w:t>
      </w:r>
      <w:r w:rsidR="006E5470">
        <w:br/>
      </w:r>
      <w:r w:rsidR="006E5470">
        <w:br/>
      </w:r>
      <w:r w:rsidR="006E5470">
        <w:t>Präambel</w:t>
      </w:r>
    </w:p>
    <w:p w:rsidR="004821F2" w:rsidP="004821F2" w:rsidRDefault="004821F2" w14:paraId="664CD9B2" w14:textId="0107B189">
      <w:r>
        <w:t xml:space="preserve">Die </w:t>
      </w:r>
      <w:r>
        <w:rPr>
          <w:highlight w:val="yellow"/>
        </w:rPr>
        <w:t>[</w:t>
      </w:r>
      <w:r w:rsidRPr="0043269E">
        <w:rPr>
          <w:b/>
          <w:bCs/>
          <w:highlight w:val="yellow"/>
        </w:rPr>
        <w:t>Emittentin</w:t>
      </w:r>
      <w:r>
        <w:rPr>
          <w:highlight w:val="yellow"/>
        </w:rPr>
        <w:t>]</w:t>
      </w:r>
      <w:r>
        <w:t xml:space="preserve"> beabsichtigt</w:t>
      </w:r>
      <w:r w:rsidR="004E57A4">
        <w:t>,</w:t>
      </w:r>
      <w:r>
        <w:t xml:space="preserve"> an Anleger </w:t>
      </w:r>
      <w:r w:rsidR="00FD0BD2">
        <w:t>(im Folgenden „</w:t>
      </w:r>
      <w:r w:rsidRPr="00FD0BD2" w:rsidR="00FD0BD2">
        <w:rPr>
          <w:b/>
          <w:bCs/>
        </w:rPr>
        <w:t>Anleihegläubiger</w:t>
      </w:r>
      <w:r w:rsidR="00FD0BD2">
        <w:t xml:space="preserve">“) </w:t>
      </w:r>
      <w:r>
        <w:t>eine Kapitalanlage gegen Einzahlung von Kapital</w:t>
      </w:r>
      <w:r w:rsidR="00B230B0">
        <w:t xml:space="preserve"> auszugeben, die es den Anleihegläubigern </w:t>
      </w:r>
      <w:r w:rsidR="00D42DEC">
        <w:t>ermöglicht</w:t>
      </w:r>
      <w:r w:rsidR="00B230B0">
        <w:t>, an</w:t>
      </w:r>
      <w:r w:rsidR="00D42DEC">
        <w:t xml:space="preserve"> Wertsteigerungen</w:t>
      </w:r>
      <w:r>
        <w:t xml:space="preserve"> von </w:t>
      </w:r>
      <w:r w:rsidRPr="000174EF">
        <w:rPr>
          <w:b/>
          <w:bCs/>
          <w:highlight w:val="yellow"/>
        </w:rPr>
        <w:t xml:space="preserve">[Bezeichnung </w:t>
      </w:r>
      <w:r w:rsidRPr="000174EF" w:rsidR="00D42DEC">
        <w:rPr>
          <w:b/>
          <w:bCs/>
          <w:highlight w:val="yellow"/>
        </w:rPr>
        <w:t>Asset</w:t>
      </w:r>
      <w:r w:rsidRPr="000174EF" w:rsidR="000174EF">
        <w:rPr>
          <w:b/>
          <w:bCs/>
          <w:highlight w:val="yellow"/>
        </w:rPr>
        <w:t>(s)</w:t>
      </w:r>
      <w:r w:rsidRPr="000174EF">
        <w:rPr>
          <w:b/>
          <w:bCs/>
          <w:highlight w:val="yellow"/>
        </w:rPr>
        <w:t>]</w:t>
      </w:r>
      <w:r>
        <w:t xml:space="preserve"> </w:t>
      </w:r>
      <w:r w:rsidR="00D42DEC">
        <w:t>zu partizipieren</w:t>
      </w:r>
      <w:r>
        <w:t xml:space="preserve">. </w:t>
      </w:r>
      <w:r w:rsidRPr="00683533" w:rsidR="00683533">
        <w:t>Hierdurch soll eine erfolgsabhängige und erfolgsorientierte Rendite auf das investierte Kapital erzielt werden.</w:t>
      </w:r>
    </w:p>
    <w:p w:rsidRPr="002F08F2" w:rsidR="00F93DAD" w:rsidP="004821F2" w:rsidRDefault="00D42DEC" w14:paraId="64917FEE" w14:textId="39D03A8B">
      <w:r w:rsidRPr="00D42DEC">
        <w:rPr>
          <w:b/>
          <w:bCs/>
          <w:u w:val="single"/>
        </w:rPr>
        <w:t>Wichtige Hinweis</w:t>
      </w:r>
      <w:r w:rsidR="00FD00E7">
        <w:rPr>
          <w:b/>
          <w:bCs/>
          <w:u w:val="single"/>
        </w:rPr>
        <w:t>e</w:t>
      </w:r>
      <w:r w:rsidRPr="00D42DEC">
        <w:rPr>
          <w:b/>
          <w:bCs/>
          <w:u w:val="single"/>
        </w:rPr>
        <w:t>:</w:t>
      </w:r>
      <w:r>
        <w:t xml:space="preserve"> Bei der Kapitalanlage handelt es sich um nachrangige</w:t>
      </w:r>
      <w:r w:rsidR="001929E3">
        <w:t xml:space="preserve"> </w:t>
      </w:r>
      <w:r>
        <w:t>Schuldverschreibungen, die eine</w:t>
      </w:r>
      <w:r w:rsidR="00223CF4">
        <w:t>n qualifizierten Rangrücktritt und eine</w:t>
      </w:r>
      <w:r>
        <w:t xml:space="preserve"> </w:t>
      </w:r>
      <w:proofErr w:type="spellStart"/>
      <w:r>
        <w:t>vorinsolvenzliche</w:t>
      </w:r>
      <w:proofErr w:type="spellEnd"/>
      <w:r>
        <w:t xml:space="preserve"> Durchsetzungssperre enthalten</w:t>
      </w:r>
      <w:r w:rsidR="00223CF4">
        <w:t xml:space="preserve"> (siehe </w:t>
      </w:r>
      <w:r w:rsidRPr="002F08F2" w:rsidR="00223CF4">
        <w:t>Ziffer 4)</w:t>
      </w:r>
      <w:r w:rsidRPr="002F08F2">
        <w:t xml:space="preserve">. </w:t>
      </w:r>
      <w:r w:rsidRPr="002F08F2" w:rsidR="004821F2">
        <w:t>D</w:t>
      </w:r>
      <w:r w:rsidRPr="002F08F2" w:rsidR="00223CF4">
        <w:t>er qualifizierte Rangrücktritt und insbesondere die</w:t>
      </w:r>
      <w:r w:rsidRPr="002F08F2" w:rsidR="004821F2">
        <w:t xml:space="preserve"> </w:t>
      </w:r>
      <w:proofErr w:type="spellStart"/>
      <w:r w:rsidRPr="002F08F2" w:rsidR="004821F2">
        <w:t>vorinsolvenzliche</w:t>
      </w:r>
      <w:proofErr w:type="spellEnd"/>
      <w:r w:rsidRPr="002F08F2" w:rsidR="004821F2">
        <w:t xml:space="preserve"> Durchsetzungssperre bewirk</w:t>
      </w:r>
      <w:r w:rsidRPr="002F08F2" w:rsidR="00223CF4">
        <w:t>en</w:t>
      </w:r>
      <w:r w:rsidRPr="002F08F2" w:rsidR="004821F2">
        <w:t xml:space="preserve"> eine Wesensänderung der Geldhingabe von einer bankgeschäftstypischen Kapitalanlage mit unbedingter Rückzahlungsverpflichtung hin zu einer unternehmerischen Beteiligung mit einer eigenkapitalähnlichen Haftungsfunktion. Der </w:t>
      </w:r>
      <w:r w:rsidRPr="002F08F2" w:rsidR="00FD0BD2">
        <w:t>Anleihegläubiger</w:t>
      </w:r>
      <w:r w:rsidRPr="002F08F2" w:rsidR="004821F2">
        <w:t xml:space="preserve"> übernimmt mit den nachrangigen</w:t>
      </w:r>
      <w:r w:rsidR="001929E3">
        <w:t xml:space="preserve"> </w:t>
      </w:r>
      <w:r w:rsidRPr="002F08F2" w:rsidR="004821F2">
        <w:t xml:space="preserve">Schuldverschreibungen ein </w:t>
      </w:r>
      <w:r w:rsidRPr="002F08F2" w:rsidR="00FD00E7">
        <w:t>über das allgemeine Insolvenzrisiko hinausgehendes unternehmerisches Risiko</w:t>
      </w:r>
      <w:r w:rsidRPr="002F08F2" w:rsidR="004821F2">
        <w:t>.</w:t>
      </w:r>
    </w:p>
    <w:p w:rsidRPr="002F08F2" w:rsidR="00F93DAD" w:rsidP="004821F2" w:rsidRDefault="00F93DAD" w14:paraId="16688ADF" w14:textId="6497AE46">
      <w:r w:rsidRPr="002F08F2">
        <w:t>Die Zahlungsansprüche aus den nachrangigen Schuldverschreibungen können aufgrund de</w:t>
      </w:r>
      <w:r w:rsidRPr="002F08F2" w:rsidR="00734C74">
        <w:t>s qualifizierten Rangrücktritts und der</w:t>
      </w:r>
      <w:r w:rsidRPr="002F08F2">
        <w:t xml:space="preserve"> </w:t>
      </w:r>
      <w:proofErr w:type="spellStart"/>
      <w:r w:rsidRPr="002F08F2">
        <w:t>vorinsolvenzlichen</w:t>
      </w:r>
      <w:proofErr w:type="spellEnd"/>
      <w:r w:rsidRPr="002F08F2">
        <w:t xml:space="preserve"> Durchsetzungssperre bereits vor Eröffnung eines Insolvenzverfahrens dauerhaft nicht durchsetzbar sein und der Ausschluss dieser Ansprüche</w:t>
      </w:r>
      <w:r w:rsidRPr="002F08F2" w:rsidR="00FD00E7">
        <w:t xml:space="preserve"> (insbesondere jeglicher Rückzahlungsansprüche)</w:t>
      </w:r>
      <w:r w:rsidRPr="002F08F2">
        <w:t xml:space="preserve"> kann dauerhaft und für unbegrenzte Zeit wirken.</w:t>
      </w:r>
      <w:r w:rsidRPr="002F08F2" w:rsidR="00734C74">
        <w:t xml:space="preserve"> </w:t>
      </w:r>
      <w:r w:rsidR="003B3FAE">
        <w:t xml:space="preserve">Eine zur Absicherung der Ansprüche aus den Schuldverschreibungen gewährte Sicherheit unterliegt ebenfalls diesen Beschränkungen. </w:t>
      </w:r>
      <w:r w:rsidRPr="002F08F2" w:rsidR="00734C74">
        <w:t>Im Übrigen verweisen wir auf die Regelungen in Ziffer</w:t>
      </w:r>
      <w:r w:rsidR="003B3FAE">
        <w:t>n</w:t>
      </w:r>
      <w:r w:rsidRPr="002F08F2" w:rsidR="00734C74">
        <w:t> 4</w:t>
      </w:r>
      <w:r w:rsidR="003B3FAE">
        <w:t xml:space="preserve"> und </w:t>
      </w:r>
      <w:r w:rsidR="004E0FFF">
        <w:t>11</w:t>
      </w:r>
      <w:r w:rsidR="003B3FAE">
        <w:t>.1</w:t>
      </w:r>
      <w:r w:rsidRPr="002F08F2" w:rsidR="00734C74">
        <w:t xml:space="preserve"> dieser Anleihebedingungen.</w:t>
      </w:r>
    </w:p>
    <w:p w:rsidR="00F93DAD" w:rsidP="00397173" w:rsidRDefault="00F93DAD" w14:paraId="5142483D" w14:textId="2207BAD4">
      <w:pPr>
        <w:rPr>
          <w:highlight w:val="green"/>
        </w:rPr>
      </w:pPr>
      <w:r w:rsidRPr="002F08F2">
        <w:t>Im Gegensatz zu den Anleihegläubigern verfügt ein Gesellschafter über Informations- und Entscheidungsbefugnisse, aufgrund derer er Kenntnis von der Verwendung des zur Verfügung gestellten Kapitals erhalten kann. Zudem kann ein Gesellschafter die vollständige Verwendung des zur Verfügung gestellten Kapitals verhindern, wenn er über eine</w:t>
      </w:r>
      <w:r>
        <w:t xml:space="preserve"> Mehrheit in der Gesellschafterversammlung verfügt. Für den </w:t>
      </w:r>
      <w:r w:rsidR="005B4284">
        <w:t>Anleihegläubiger</w:t>
      </w:r>
      <w:r>
        <w:t xml:space="preserve"> bedeutet dies, dass das von ihm übernommene Risiko in gewisser Hinsicht über das unternehmerische Risiko eines Gesellschafters hinausgehen kann.</w:t>
      </w:r>
      <w:r w:rsidRPr="00F93DAD">
        <w:rPr>
          <w:highlight w:val="green"/>
        </w:rPr>
        <w:t xml:space="preserve"> </w:t>
      </w:r>
      <w:r>
        <w:rPr>
          <w:highlight w:val="green"/>
        </w:rPr>
        <w:br w:type="page"/>
      </w:r>
    </w:p>
    <w:p w:rsidR="004821F2" w:rsidP="001F19E2" w:rsidRDefault="004821F2" w14:paraId="5F5F11BD" w14:textId="062D6235">
      <w:pPr>
        <w:pStyle w:val="Heading2"/>
      </w:pPr>
      <w:r>
        <w:t>1.</w:t>
      </w:r>
      <w:r>
        <w:tab/>
      </w:r>
      <w:r>
        <w:t>Nennbetrag</w:t>
      </w:r>
      <w:r w:rsidR="00F93DAD">
        <w:t xml:space="preserve">, </w:t>
      </w:r>
      <w:r w:rsidR="00074E5D">
        <w:t>Übertragung</w:t>
      </w:r>
    </w:p>
    <w:p w:rsidR="004821F2" w:rsidP="001F19E2" w:rsidRDefault="004821F2" w14:paraId="5D3875BF" w14:textId="32EE8EEA">
      <w:pPr>
        <w:ind w:left="708" w:hanging="708"/>
      </w:pPr>
      <w:r>
        <w:t>1.1</w:t>
      </w:r>
      <w:r>
        <w:tab/>
      </w:r>
      <w:r>
        <w:t xml:space="preserve">Die </w:t>
      </w:r>
      <w:r>
        <w:rPr>
          <w:highlight w:val="yellow"/>
        </w:rPr>
        <w:t>[Emittentin]</w:t>
      </w:r>
      <w:r>
        <w:t xml:space="preserve"> mit dem Sitz in </w:t>
      </w:r>
      <w:r w:rsidR="001929E3">
        <w:rPr>
          <w:highlight w:val="yellow"/>
        </w:rPr>
        <w:t>[</w:t>
      </w:r>
      <w:r w:rsidR="00A31806">
        <w:rPr>
          <w:highlight w:val="yellow"/>
        </w:rPr>
        <w:t>Ort</w:t>
      </w:r>
      <w:r w:rsidR="001929E3">
        <w:rPr>
          <w:highlight w:val="yellow"/>
        </w:rPr>
        <w:t>]</w:t>
      </w:r>
      <w:r>
        <w:t xml:space="preserve"> (die „</w:t>
      </w:r>
      <w:r>
        <w:rPr>
          <w:b/>
          <w:bCs/>
        </w:rPr>
        <w:t>Emittentin</w:t>
      </w:r>
      <w:r>
        <w:t xml:space="preserve">“) begibt bis zu </w:t>
      </w:r>
      <w:r>
        <w:rPr>
          <w:highlight w:val="yellow"/>
        </w:rPr>
        <w:t>[#]</w:t>
      </w:r>
      <w:r>
        <w:t xml:space="preserve"> Stück Schuldverschreibungen im Nennbetrag von jeweils Euro </w:t>
      </w:r>
      <w:r>
        <w:rPr>
          <w:highlight w:val="yellow"/>
        </w:rPr>
        <w:t>[</w:t>
      </w:r>
      <w:r w:rsidR="001929E3">
        <w:rPr>
          <w:highlight w:val="yellow"/>
        </w:rPr>
        <w:t>N</w:t>
      </w:r>
      <w:r>
        <w:rPr>
          <w:highlight w:val="yellow"/>
        </w:rPr>
        <w:t>ennbetrag]</w:t>
      </w:r>
      <w:r>
        <w:t xml:space="preserve"> (der „</w:t>
      </w:r>
      <w:r>
        <w:rPr>
          <w:b/>
          <w:bCs/>
        </w:rPr>
        <w:t>Nennbetrag</w:t>
      </w:r>
      <w:r>
        <w:t>“) der Serie „</w:t>
      </w:r>
      <w:r>
        <w:rPr>
          <w:highlight w:val="yellow"/>
        </w:rPr>
        <w:t>[Emissionsbezeichnung]</w:t>
      </w:r>
      <w:r>
        <w:t>“ (die „</w:t>
      </w:r>
      <w:r>
        <w:rPr>
          <w:b/>
          <w:bCs/>
        </w:rPr>
        <w:t>Schuldverschreibungen</w:t>
      </w:r>
      <w:r>
        <w:t xml:space="preserve">“) im Gesamtnennbetrag von bis zu Euro </w:t>
      </w:r>
      <w:r w:rsidR="001929E3">
        <w:rPr>
          <w:highlight w:val="yellow"/>
        </w:rPr>
        <w:t>[</w:t>
      </w:r>
      <w:r>
        <w:rPr>
          <w:highlight w:val="yellow"/>
        </w:rPr>
        <w:t>Gesamtnennbetrag]</w:t>
      </w:r>
      <w:r>
        <w:t>.</w:t>
      </w:r>
    </w:p>
    <w:p w:rsidR="005B4284" w:rsidP="005B4284" w:rsidRDefault="005B4284" w14:paraId="2AA46965" w14:textId="2B7A07AB">
      <w:pPr>
        <w:ind w:left="708" w:hanging="708"/>
      </w:pPr>
      <w:r>
        <w:t>1.2</w:t>
      </w:r>
      <w:r>
        <w:tab/>
      </w:r>
      <w:r>
        <w:t xml:space="preserve">Die Schuldverschreibungen berechtigen den Anleihegläubiger, von der Emittentin Zahlungen nach Maßgabe dieser Anleihebedingungen zu verlangen. Zahlungen an die Anleihegläubiger </w:t>
      </w:r>
      <w:r w:rsidR="004E041A">
        <w:t>können unter anderem</w:t>
      </w:r>
      <w:r>
        <w:t xml:space="preserve"> von der Veräußerung </w:t>
      </w:r>
      <w:r w:rsidRPr="005B4284">
        <w:rPr>
          <w:highlight w:val="yellow"/>
        </w:rPr>
        <w:t>[des folgenden Vermögensgegenstandes/der folgenden Vermögensgegenstände]</w:t>
      </w:r>
      <w:r>
        <w:t xml:space="preserve"> ab</w:t>
      </w:r>
      <w:r w:rsidR="004E041A">
        <w:t>hängen</w:t>
      </w:r>
      <w:r>
        <w:t>:</w:t>
      </w:r>
    </w:p>
    <w:p w:rsidRPr="00B230B0" w:rsidR="005B4284" w:rsidP="00181F52" w:rsidRDefault="00B230B0" w14:paraId="006C1459" w14:textId="5F900E14">
      <w:pPr>
        <w:ind w:left="709" w:firstLine="709"/>
      </w:pPr>
      <w:r w:rsidRPr="000174EF">
        <w:rPr>
          <w:b/>
          <w:bCs/>
          <w:highlight w:val="yellow"/>
        </w:rPr>
        <w:t>[</w:t>
      </w:r>
      <w:r w:rsidR="00DC4713">
        <w:rPr>
          <w:b/>
          <w:bCs/>
          <w:highlight w:val="yellow"/>
        </w:rPr>
        <w:t>Genaue Beschreibung Asset oder Assets</w:t>
      </w:r>
      <w:r w:rsidRPr="000174EF">
        <w:rPr>
          <w:b/>
          <w:bCs/>
          <w:highlight w:val="yellow"/>
        </w:rPr>
        <w:t>]</w:t>
      </w:r>
      <w:r>
        <w:t xml:space="preserve"> </w:t>
      </w:r>
      <w:r w:rsidRPr="00B230B0" w:rsidR="005B4284">
        <w:t xml:space="preserve">(nachfolgend </w:t>
      </w:r>
      <w:r w:rsidRPr="00B230B0">
        <w:rPr>
          <w:highlight w:val="yellow"/>
        </w:rPr>
        <w:t>[zusammen]</w:t>
      </w:r>
      <w:r>
        <w:t xml:space="preserve"> </w:t>
      </w:r>
      <w:r w:rsidRPr="00B230B0" w:rsidR="005B4284">
        <w:t>das „</w:t>
      </w:r>
      <w:r w:rsidRPr="00B230B0" w:rsidR="005B4284">
        <w:rPr>
          <w:b/>
          <w:bCs/>
        </w:rPr>
        <w:t>Asset</w:t>
      </w:r>
      <w:r w:rsidRPr="00B230B0" w:rsidR="005B4284">
        <w:t>“).</w:t>
      </w:r>
      <w:r>
        <w:t xml:space="preserve"> </w:t>
      </w:r>
    </w:p>
    <w:p w:rsidRPr="001F704E" w:rsidR="00181F52" w:rsidP="005B4284" w:rsidRDefault="00533E73" w14:paraId="00B83861" w14:textId="22B9E5C4">
      <w:pPr>
        <w:ind w:left="708" w:hanging="708"/>
      </w:pPr>
      <w:r>
        <w:t>1.</w:t>
      </w:r>
      <w:r w:rsidR="00AA76AD">
        <w:t>3</w:t>
      </w:r>
      <w:r>
        <w:tab/>
      </w:r>
      <w:r w:rsidR="005B4284">
        <w:t xml:space="preserve">Die Emittentin </w:t>
      </w:r>
      <w:r w:rsidR="000C443E">
        <w:t xml:space="preserve">wird </w:t>
      </w:r>
      <w:r w:rsidR="005B4284">
        <w:t xml:space="preserve">das eingezahlte </w:t>
      </w:r>
      <w:r w:rsidRPr="000C443E" w:rsidR="005B4284">
        <w:t xml:space="preserve">Anleihekapital </w:t>
      </w:r>
      <w:r w:rsidRPr="001F704E" w:rsidR="005B4284">
        <w:t>verwenden</w:t>
      </w:r>
      <w:r w:rsidRPr="001F704E" w:rsidR="00703D37">
        <w:t xml:space="preserve"> für:</w:t>
      </w:r>
    </w:p>
    <w:p w:rsidRPr="001F704E" w:rsidR="00181F52" w:rsidP="00181F52" w:rsidRDefault="00181F52" w14:paraId="1770132D" w14:textId="4A8204D0">
      <w:pPr>
        <w:ind w:left="1417" w:firstLine="1"/>
      </w:pPr>
      <w:r w:rsidRPr="001F704E">
        <w:rPr>
          <w:b/>
          <w:bCs/>
          <w:highlight w:val="yellow"/>
        </w:rPr>
        <w:t>[Genaue Beschreibung Verwendun</w:t>
      </w:r>
      <w:r w:rsidRPr="001F704E" w:rsidR="00C344C1">
        <w:rPr>
          <w:b/>
          <w:bCs/>
          <w:highlight w:val="yellow"/>
        </w:rPr>
        <w:t>g</w:t>
      </w:r>
      <w:r w:rsidRPr="001F704E">
        <w:rPr>
          <w:b/>
          <w:bCs/>
          <w:highlight w:val="yellow"/>
        </w:rPr>
        <w:t xml:space="preserve">szweck </w:t>
      </w:r>
      <w:r w:rsidRPr="001F704E" w:rsidR="00621072">
        <w:rPr>
          <w:b/>
          <w:bCs/>
          <w:highlight w:val="yellow"/>
        </w:rPr>
        <w:t>Anleihe</w:t>
      </w:r>
      <w:r w:rsidRPr="001F704E" w:rsidR="008E4F9D">
        <w:rPr>
          <w:b/>
          <w:bCs/>
          <w:highlight w:val="yellow"/>
        </w:rPr>
        <w:t>kapital</w:t>
      </w:r>
      <w:r w:rsidRPr="001F704E">
        <w:rPr>
          <w:b/>
          <w:bCs/>
          <w:highlight w:val="yellow"/>
        </w:rPr>
        <w:t>]</w:t>
      </w:r>
    </w:p>
    <w:p w:rsidRPr="009D6F1D" w:rsidR="004821F2" w:rsidP="009D6F1D" w:rsidRDefault="004821F2" w14:paraId="4E15178B" w14:textId="1B85D71C">
      <w:pPr>
        <w:ind w:left="708" w:hanging="708"/>
      </w:pPr>
      <w:r>
        <w:t>1.</w:t>
      </w:r>
      <w:r w:rsidR="00AA76AD">
        <w:t>4</w:t>
      </w:r>
      <w:r>
        <w:tab/>
      </w:r>
      <w:r>
        <w:t xml:space="preserve">Die Schuldverschreibungen </w:t>
      </w:r>
      <w:r w:rsidR="00BE4669">
        <w:t xml:space="preserve">sind </w:t>
      </w:r>
      <w:r w:rsidRPr="00DC4713" w:rsidR="00DC4713">
        <w:t>im Wege der Abtretung der sich aus der Schuldverschreibung ergebenden Rechte und Pflichten (§</w:t>
      </w:r>
      <w:r w:rsidR="00DC4713">
        <w:t> </w:t>
      </w:r>
      <w:r w:rsidRPr="00DC4713" w:rsidR="00DC4713">
        <w:t xml:space="preserve">398 BGB) </w:t>
      </w:r>
      <w:r w:rsidR="00BE4669">
        <w:t>übertragbar</w:t>
      </w:r>
      <w:r>
        <w:t>.</w:t>
      </w:r>
      <w:r w:rsidR="00BE4669">
        <w:t xml:space="preserve"> </w:t>
      </w:r>
    </w:p>
    <w:p w:rsidR="004821F2" w:rsidP="001F19E2" w:rsidRDefault="004821F2" w14:paraId="1A350A50" w14:textId="4798CE15">
      <w:pPr>
        <w:pStyle w:val="Heading2"/>
      </w:pPr>
      <w:r>
        <w:t>2.</w:t>
      </w:r>
      <w:r>
        <w:tab/>
      </w:r>
      <w:r>
        <w:t>Status</w:t>
      </w:r>
      <w:r w:rsidR="00AB3D83">
        <w:t xml:space="preserve"> der Schuldverschreibungen</w:t>
      </w:r>
    </w:p>
    <w:p w:rsidR="004821F2" w:rsidP="001F19E2" w:rsidRDefault="004821F2" w14:paraId="7FD9583B" w14:textId="6B308759">
      <w:pPr>
        <w:ind w:left="708" w:hanging="708"/>
      </w:pPr>
      <w:r>
        <w:t>2.1</w:t>
      </w:r>
      <w:r>
        <w:tab/>
      </w:r>
      <w:r>
        <w:t xml:space="preserve">Die Schuldverschreibungen begründen unmittelbare, nachrangige und </w:t>
      </w:r>
      <w:r w:rsidR="00CE08AA">
        <w:t>nach Maßgabe von Ziffer </w:t>
      </w:r>
      <w:r w:rsidR="004E0FFF">
        <w:t xml:space="preserve">11 </w:t>
      </w:r>
      <w:r>
        <w:t>besicherte Verbindlichkeiten der Emittentin und stehen im gleichen Rang untereinander und mindestens im gleichen Rang mit allen anderen gegenwärtigen und zukünftigen nachrangigen Verbindlichkeiten der Emittentin, soweit bestimmte zwingende gesetzliche Bestimmungen nichts anderes vorschreiben.</w:t>
      </w:r>
    </w:p>
    <w:p w:rsidR="00776079" w:rsidP="00776079" w:rsidRDefault="00776079" w14:paraId="779148E8" w14:textId="37A9FF1D">
      <w:pPr>
        <w:ind w:left="708" w:hanging="708"/>
      </w:pPr>
      <w:r>
        <w:t>2.2</w:t>
      </w:r>
      <w:r>
        <w:tab/>
      </w:r>
      <w:r>
        <w:t xml:space="preserve">Die Schuldverschreibungen gewähren den </w:t>
      </w:r>
      <w:r w:rsidR="005B4284">
        <w:t>Anleihegläubiger</w:t>
      </w:r>
      <w:r>
        <w:t xml:space="preserve">n rein schuldrechtliche Ansprüche, jedoch keine Mitgliedschaftsrechte, insbesondere keine Teilnahme, Mitwirkungs- und Stimmrechte in der Gesellschafterversammlung der Emittentin. Mit dem Erwerb der Schuldverschreibungen ist weder von der Emittentin noch von dem </w:t>
      </w:r>
      <w:r w:rsidR="005B4284">
        <w:t>Anleihegläubiger</w:t>
      </w:r>
      <w:r>
        <w:t xml:space="preserve"> der Abschluss einer stillen Beteiligung im Sinne der §§ 230 ff. HGB beabsichtigt. Die Schuldverschreibungen sind weder an einem Verlust noch an einem Liquidationserlös der Emittentin beteiligt.</w:t>
      </w:r>
    </w:p>
    <w:p w:rsidR="00BA68EC" w:rsidP="00AE6E4E" w:rsidRDefault="00AE6E4E" w14:paraId="19CC16CB" w14:textId="0CC6FDEF">
      <w:pPr>
        <w:ind w:left="708" w:hanging="708"/>
      </w:pPr>
      <w:r>
        <w:t>2.3</w:t>
      </w:r>
      <w:r>
        <w:tab/>
      </w:r>
      <w:r>
        <w:t xml:space="preserve">Die Emittentin ist ohne Zustimmung der </w:t>
      </w:r>
      <w:r w:rsidR="005B4284">
        <w:t>Anleihegläubiger</w:t>
      </w:r>
      <w:r>
        <w:t xml:space="preserve"> </w:t>
      </w:r>
      <w:r w:rsidR="00B44982">
        <w:t xml:space="preserve">nicht </w:t>
      </w:r>
      <w:r>
        <w:t xml:space="preserve">berechtigt, weitere Schuldverschreibungen (in </w:t>
      </w:r>
      <w:r w:rsidR="001929E3">
        <w:t>jedweder</w:t>
      </w:r>
      <w:r>
        <w:t xml:space="preserve"> Form) sowie andere Schuld- und/oder Finanzierungstitel zu begeben sowie Fremdkapital bei Kreditinstituten aufzunehmen.</w:t>
      </w:r>
      <w:r w:rsidDel="00B44982" w:rsidR="00B44982">
        <w:t xml:space="preserve"> </w:t>
      </w:r>
    </w:p>
    <w:p w:rsidR="007E23DA" w:rsidP="00AE6E4E" w:rsidRDefault="007E23DA" w14:paraId="08FAF7B7" w14:textId="5A125C4F">
      <w:pPr>
        <w:ind w:left="708" w:hanging="708"/>
      </w:pPr>
      <w:r>
        <w:t>2.4</w:t>
      </w:r>
      <w:r>
        <w:tab/>
      </w:r>
      <w:r>
        <w:t>Eine Verbriefung der Schuldverschreibungen ist ausgeschlossen.</w:t>
      </w:r>
    </w:p>
    <w:p w:rsidR="004821F2" w:rsidP="001F19E2" w:rsidRDefault="004821F2" w14:paraId="7B5209EC" w14:textId="1D4AB28E">
      <w:pPr>
        <w:pStyle w:val="Heading2"/>
      </w:pPr>
      <w:r>
        <w:t>3.</w:t>
      </w:r>
      <w:r>
        <w:tab/>
      </w:r>
      <w:r>
        <w:t>Erwerb der Schuldverschreibungen</w:t>
      </w:r>
    </w:p>
    <w:p w:rsidR="004821F2" w:rsidP="001F19E2" w:rsidRDefault="004821F2" w14:paraId="1553ABB5" w14:textId="4A984319">
      <w:pPr>
        <w:ind w:left="708" w:hanging="708"/>
      </w:pPr>
      <w:r>
        <w:t>3.1</w:t>
      </w:r>
      <w:r>
        <w:tab/>
      </w:r>
      <w:r>
        <w:t xml:space="preserve">Die Zeichnung der Schuldverschreibungen erfolgt über die Plattform der </w:t>
      </w:r>
      <w:r w:rsidRPr="00AA76AD" w:rsidR="00AA76AD">
        <w:t>Kazpar GmbH</w:t>
      </w:r>
      <w:r w:rsidR="00543E76">
        <w:t xml:space="preserve"> (Kazpa</w:t>
      </w:r>
      <w:r w:rsidR="00B4212F">
        <w:t>r.com)</w:t>
      </w:r>
      <w:r w:rsidR="004716AE">
        <w:t xml:space="preserve"> </w:t>
      </w:r>
      <w:r w:rsidRPr="009E382E" w:rsidR="009E382E">
        <w:t>Rosenthaler Straße 72A, 10119 Berlin</w:t>
      </w:r>
      <w:r w:rsidR="002A1F5D">
        <w:t xml:space="preserve"> </w:t>
      </w:r>
      <w:r>
        <w:t>(„</w:t>
      </w:r>
      <w:r w:rsidR="00AA76AD">
        <w:rPr>
          <w:b/>
          <w:bCs/>
        </w:rPr>
        <w:t>Kazpar</w:t>
      </w:r>
      <w:r w:rsidRPr="00C22D7C" w:rsidR="00C22D7C">
        <w:rPr>
          <w:b/>
          <w:bCs/>
        </w:rPr>
        <w:t>-</w:t>
      </w:r>
      <w:r>
        <w:rPr>
          <w:b/>
          <w:bCs/>
        </w:rPr>
        <w:t>Plattform</w:t>
      </w:r>
      <w:r>
        <w:t xml:space="preserve">“), die als </w:t>
      </w:r>
      <w:r w:rsidR="001B022B">
        <w:t xml:space="preserve">vertraglich </w:t>
      </w:r>
      <w:r>
        <w:t>gebundener Vermittler</w:t>
      </w:r>
      <w:r w:rsidR="005E0DAA">
        <w:t xml:space="preserve"> (</w:t>
      </w:r>
      <w:proofErr w:type="spellStart"/>
      <w:r w:rsidR="005E0DAA">
        <w:t>vgV</w:t>
      </w:r>
      <w:proofErr w:type="spellEnd"/>
      <w:r w:rsidR="005E0DAA">
        <w:t>)</w:t>
      </w:r>
      <w:r>
        <w:t xml:space="preserve"> im Namen, auf Rechnung und unter der Haftung der </w:t>
      </w:r>
      <w:r w:rsidR="00023E73">
        <w:t>CONCEDUS</w:t>
      </w:r>
      <w:r w:rsidRPr="0037657B" w:rsidR="00023E73">
        <w:t xml:space="preserve"> </w:t>
      </w:r>
      <w:r w:rsidRPr="0037657B" w:rsidR="00E14D4A">
        <w:t xml:space="preserve">GmbH, Ostendstraße 100, 90482 </w:t>
      </w:r>
      <w:r w:rsidR="00023E73">
        <w:t>Nürnberg</w:t>
      </w:r>
      <w:r>
        <w:t xml:space="preserve">, die </w:t>
      </w:r>
      <w:r w:rsidR="00520E6A">
        <w:t xml:space="preserve">jeweiligen Willenserklärungen zum Erwerb oder zur Veräußerung von </w:t>
      </w:r>
      <w:r>
        <w:t>Schuldverschreibungen vermittelt.</w:t>
      </w:r>
    </w:p>
    <w:p w:rsidR="002352F5" w:rsidP="001F19E2" w:rsidRDefault="004821F2" w14:paraId="2B6686A2" w14:textId="77777777">
      <w:pPr>
        <w:ind w:left="708" w:hanging="708"/>
      </w:pPr>
      <w:r>
        <w:t>3.2</w:t>
      </w:r>
      <w:r>
        <w:tab/>
      </w:r>
      <w:r>
        <w:t xml:space="preserve">Der Vertrag über den Erwerb der Schuldverschreibungen kommt </w:t>
      </w:r>
      <w:r w:rsidR="00AE6E4E">
        <w:t xml:space="preserve">aufschiebend bedingt </w:t>
      </w:r>
      <w:r>
        <w:t xml:space="preserve">mit </w:t>
      </w:r>
    </w:p>
    <w:p w:rsidR="002352F5" w:rsidP="002352F5" w:rsidRDefault="002352F5" w14:paraId="5EE31BCD" w14:textId="77777777">
      <w:pPr>
        <w:ind w:left="1560" w:hanging="851"/>
      </w:pPr>
      <w:r>
        <w:t>3.2.1</w:t>
      </w:r>
      <w:r>
        <w:tab/>
      </w:r>
      <w:r>
        <w:t>der Annahme der Zeichnung durch die Emittentin,</w:t>
      </w:r>
    </w:p>
    <w:p w:rsidR="002352F5" w:rsidP="002352F5" w:rsidRDefault="002352F5" w14:paraId="77A64470" w14:textId="0EC7D212">
      <w:pPr>
        <w:ind w:left="1560" w:hanging="851"/>
      </w:pPr>
      <w:r>
        <w:t>3.2.2</w:t>
      </w:r>
      <w:r>
        <w:tab/>
      </w:r>
      <w:r>
        <w:t>den Zahlungseingang des gezeichneten Nennbetrags durch den Anleihegläubiger, sowie</w:t>
      </w:r>
    </w:p>
    <w:p w:rsidR="002352F5" w:rsidP="002352F5" w:rsidRDefault="002352F5" w14:paraId="373A1A25" w14:textId="52F63DD7">
      <w:pPr>
        <w:ind w:left="1560" w:hanging="851"/>
      </w:pPr>
      <w:r>
        <w:t>3.2.3</w:t>
      </w:r>
      <w:r>
        <w:tab/>
      </w:r>
      <w:r>
        <w:t>d</w:t>
      </w:r>
      <w:r w:rsidR="00EB3FD8">
        <w:t>er</w:t>
      </w:r>
      <w:r>
        <w:t xml:space="preserve"> unwiderrufliche</w:t>
      </w:r>
      <w:r w:rsidR="00EB3FD8">
        <w:t>n</w:t>
      </w:r>
      <w:r>
        <w:t xml:space="preserve"> Zeichnung sämtlicher Schuldverschreibungen zum Nennbetrag von EUR </w:t>
      </w:r>
      <w:r w:rsidRPr="00F56228">
        <w:rPr>
          <w:highlight w:val="yellow"/>
        </w:rPr>
        <w:t>[Gesamtnennbetrag]</w:t>
      </w:r>
    </w:p>
    <w:p w:rsidR="004821F2" w:rsidP="00F56228" w:rsidRDefault="002352F5" w14:paraId="45EEF3BA" w14:textId="325BF472">
      <w:pPr>
        <w:ind w:left="1560" w:hanging="851"/>
      </w:pPr>
      <w:r>
        <w:t>zustande.</w:t>
      </w:r>
    </w:p>
    <w:p w:rsidR="004821F2" w:rsidP="001F19E2" w:rsidRDefault="004821F2" w14:paraId="4AD32DA5" w14:textId="3C76B223">
      <w:pPr>
        <w:ind w:left="708" w:hanging="708"/>
      </w:pPr>
      <w:r>
        <w:t>3.</w:t>
      </w:r>
      <w:r w:rsidR="00437C3F">
        <w:t>3</w:t>
      </w:r>
      <w:r>
        <w:tab/>
      </w:r>
      <w:r>
        <w:t>Bei Nichtzustandekommen des Erwerbs der Schuldverschreibungen, also bei Nichteintritt der aufschiebenden Bedingungen nach Ziffer </w:t>
      </w:r>
      <w:r w:rsidRPr="000174EF">
        <w:t>3.</w:t>
      </w:r>
      <w:r w:rsidRPr="000174EF" w:rsidR="00437C3F">
        <w:t>2</w:t>
      </w:r>
      <w:r>
        <w:t xml:space="preserve">, wird die Emittentin den </w:t>
      </w:r>
      <w:r w:rsidR="00FD0BD2">
        <w:t>Anleihegläubiger</w:t>
      </w:r>
      <w:r>
        <w:t xml:space="preserve"> unverzüglich informieren.</w:t>
      </w:r>
    </w:p>
    <w:p w:rsidR="00AE6E4E" w:rsidP="00AE6E4E" w:rsidRDefault="004E22B5" w14:paraId="31C71390" w14:textId="0F05006E">
      <w:pPr>
        <w:ind w:left="708" w:hanging="708"/>
      </w:pPr>
      <w:r w:rsidRPr="004E22B5">
        <w:t>3.4</w:t>
      </w:r>
      <w:r w:rsidRPr="004E22B5">
        <w:tab/>
      </w:r>
      <w:r w:rsidRPr="004E22B5">
        <w:t>Die Emittentin behält sich i</w:t>
      </w:r>
      <w:r>
        <w:t xml:space="preserve">nsbesondere vor, Anleihegläubiger vor Annahme ihrer Zeichnung von Schuldverschreibungen (oder, falls notwendig, zu einem späteren Zeitpunkt, z.B. dem Erwerb von Schuldverschreibungen von bestehenden Anleihegläubigern) nach Maßgabe des Geldwäschegesetzes (GwG) oder anderer, vergleichbarer Rechtsnormen zu </w:t>
      </w:r>
      <w:r w:rsidR="00260FFE">
        <w:t xml:space="preserve">identifizieren </w:t>
      </w:r>
      <w:r>
        <w:t xml:space="preserve">bzw. eine solche </w:t>
      </w:r>
      <w:r w:rsidR="00260FFE">
        <w:t xml:space="preserve">Identifizierung </w:t>
      </w:r>
      <w:r>
        <w:t xml:space="preserve">durch die registerführende Stelle oder andere Dritte durchführen zu lassen. </w:t>
      </w:r>
      <w:r w:rsidRPr="004E22B5" w:rsidR="00AE6E4E">
        <w:t xml:space="preserve">Der </w:t>
      </w:r>
      <w:r w:rsidRPr="004E22B5" w:rsidR="005B4284">
        <w:t>Anleihegläubiger</w:t>
      </w:r>
      <w:r w:rsidRPr="004E22B5" w:rsidR="00AE6E4E">
        <w:t xml:space="preserve"> muss die hierfür</w:t>
      </w:r>
      <w:r>
        <w:t xml:space="preserve"> </w:t>
      </w:r>
      <w:r w:rsidRPr="004E22B5" w:rsidR="00AE6E4E">
        <w:t>notwendigen Informationen zur Verfügung stellen.</w:t>
      </w:r>
    </w:p>
    <w:tbl>
      <w:tblPr>
        <w:tblStyle w:val="TableGrid"/>
        <w:tblW w:w="9255" w:type="dxa"/>
        <w:tblInd w:w="-14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13" w:type="dxa"/>
          <w:left w:w="142" w:type="dxa"/>
          <w:bottom w:w="113" w:type="dxa"/>
          <w:right w:w="142" w:type="dxa"/>
        </w:tblCellMar>
        <w:tblLook w:val="04A0" w:firstRow="1" w:lastRow="0" w:firstColumn="1" w:lastColumn="0" w:noHBand="0" w:noVBand="1"/>
      </w:tblPr>
      <w:tblGrid>
        <w:gridCol w:w="9255"/>
      </w:tblGrid>
      <w:tr w:rsidR="005A2B29" w:rsidTr="006342E1" w14:paraId="6522CD34" w14:textId="77777777">
        <w:tc>
          <w:tcPr>
            <w:tcW w:w="9255" w:type="dxa"/>
          </w:tcPr>
          <w:p w:rsidR="005A2B29" w:rsidP="00EB3FD8" w:rsidRDefault="005A2B29" w14:paraId="4113EA97" w14:textId="77777777">
            <w:pPr>
              <w:pStyle w:val="Heading2"/>
              <w:keepLines w:val="0"/>
              <w:widowControl w:val="0"/>
              <w:ind w:left="709" w:hanging="709"/>
            </w:pPr>
            <w:r>
              <w:t>4.</w:t>
            </w:r>
            <w:r>
              <w:tab/>
            </w:r>
            <w:r>
              <w:t xml:space="preserve">Qualifizierter Rangrücktritt der Anleihegläubiger und </w:t>
            </w:r>
            <w:proofErr w:type="spellStart"/>
            <w:r>
              <w:t>vorinsolvenzliche</w:t>
            </w:r>
            <w:proofErr w:type="spellEnd"/>
            <w:r>
              <w:t xml:space="preserve"> Durchsetzungssperre</w:t>
            </w:r>
          </w:p>
          <w:p w:rsidRPr="0027464B" w:rsidR="005A2B29" w:rsidP="005A2B29" w:rsidRDefault="005A2B29" w14:paraId="341B6E16" w14:textId="186BF603">
            <w:pPr>
              <w:spacing w:after="160"/>
              <w:ind w:left="709" w:hanging="709"/>
            </w:pPr>
            <w:r w:rsidRPr="00C136A4">
              <w:t>4.1</w:t>
            </w:r>
            <w:r w:rsidRPr="00C136A4">
              <w:tab/>
            </w:r>
            <w:r w:rsidRPr="00C136A4">
              <w:t>Der Anleihegläubiger tritt hiermit gemäß §§</w:t>
            </w:r>
            <w:r>
              <w:t> </w:t>
            </w:r>
            <w:r w:rsidRPr="00C136A4">
              <w:t>19 Abs.</w:t>
            </w:r>
            <w:r>
              <w:t> </w:t>
            </w:r>
            <w:r w:rsidRPr="00C136A4">
              <w:t>2 Satz</w:t>
            </w:r>
            <w:r>
              <w:t> </w:t>
            </w:r>
            <w:r w:rsidRPr="00C136A4">
              <w:t>2, 39 Abs.</w:t>
            </w:r>
            <w:r>
              <w:t> </w:t>
            </w:r>
            <w:r w:rsidRPr="00C136A4">
              <w:t xml:space="preserve">2 </w:t>
            </w:r>
            <w:r>
              <w:t>der Insolvenzordnung (</w:t>
            </w:r>
            <w:r w:rsidR="004868DC">
              <w:t>„</w:t>
            </w:r>
            <w:r w:rsidRPr="004868DC" w:rsidR="004868DC">
              <w:rPr>
                <w:b/>
                <w:bCs/>
              </w:rPr>
              <w:t>InsO</w:t>
            </w:r>
            <w:r w:rsidR="004868DC">
              <w:t>“</w:t>
            </w:r>
            <w:r>
              <w:t>)</w:t>
            </w:r>
            <w:r w:rsidRPr="00C136A4">
              <w:t xml:space="preserve"> mit sämtlichen </w:t>
            </w:r>
            <w:r>
              <w:t xml:space="preserve">seiner gegenwärtigen und zukünftigen </w:t>
            </w:r>
            <w:r w:rsidRPr="00C136A4">
              <w:t>Forderungen aus oder im Zusammenhang mit den Schuldverschreibungen, insbesondere die Rückzahlung des Nennbetrags</w:t>
            </w:r>
            <w:r>
              <w:t xml:space="preserve"> und einschließlich etwaiger Zinsen</w:t>
            </w:r>
            <w:r w:rsidRPr="00C136A4">
              <w:t xml:space="preserve"> (zusammen „</w:t>
            </w:r>
            <w:r w:rsidRPr="00C136A4">
              <w:rPr>
                <w:b/>
                <w:bCs/>
              </w:rPr>
              <w:t>Nachrangforderungen</w:t>
            </w:r>
            <w:r w:rsidRPr="00C136A4">
              <w:t xml:space="preserve">“), hinter sämtliche Forderungen von gegenwärtigen und zukünftigen anderen Gläubigern der Emittentin (mit Ausnahme von anderen nachrangigen oder gleichrangigen Gläubigern) in den Rang hinter </w:t>
            </w:r>
            <w:r w:rsidRPr="0027464B">
              <w:t xml:space="preserve">die Forderungen im Sinne des § 39 Abs. 1 Nr. 1 bis 5 InsO zurück. </w:t>
            </w:r>
            <w:r w:rsidRPr="000467E3">
              <w:t xml:space="preserve">Die </w:t>
            </w:r>
            <w:r>
              <w:t>Nachrangforderungen</w:t>
            </w:r>
            <w:r w:rsidRPr="000467E3">
              <w:t xml:space="preserve"> haben daher denselben Rang wie die Forderungen auf Rückzahlung des Stammkapitals der Gesellschafterin (</w:t>
            </w:r>
            <w:r>
              <w:t xml:space="preserve">sogenannter </w:t>
            </w:r>
            <w:r w:rsidRPr="00223CF4">
              <w:t>„qualifizierter Rangrücktritt“</w:t>
            </w:r>
            <w:r w:rsidRPr="000467E3">
              <w:t>).</w:t>
            </w:r>
            <w:r>
              <w:t xml:space="preserve"> Der Nachrang</w:t>
            </w:r>
            <w:r w:rsidRPr="000467E3">
              <w:t xml:space="preserve"> gilt </w:t>
            </w:r>
            <w:r>
              <w:t xml:space="preserve">grundsätzlich </w:t>
            </w:r>
            <w:r w:rsidRPr="000467E3">
              <w:t>jederzeit, sowohl vor Eröffnung des Insolvenzverfahrens als auch während des Insolvenzverfahrens.</w:t>
            </w:r>
          </w:p>
          <w:p w:rsidRPr="0027464B" w:rsidR="005A2B29" w:rsidP="005A2B29" w:rsidRDefault="005A2B29" w14:paraId="1B5B038F" w14:textId="178B0704">
            <w:pPr>
              <w:spacing w:after="160"/>
              <w:ind w:left="708" w:hanging="708"/>
            </w:pPr>
            <w:r w:rsidRPr="0027464B">
              <w:t>4.2</w:t>
            </w:r>
            <w:r w:rsidRPr="0027464B">
              <w:tab/>
            </w:r>
            <w:r w:rsidRPr="0027464B">
              <w:t xml:space="preserve">Zahlungen auf die Nachrangforderungen sind solange und </w:t>
            </w:r>
            <w:proofErr w:type="gramStart"/>
            <w:r w:rsidRPr="0027464B" w:rsidR="00DB3B2F">
              <w:t>soweit</w:t>
            </w:r>
            <w:proofErr w:type="gramEnd"/>
            <w:r w:rsidRPr="0027464B">
              <w:t xml:space="preserve"> ausgeschlossen, wie </w:t>
            </w:r>
          </w:p>
          <w:p w:rsidR="005A2B29" w:rsidP="005A2B29" w:rsidRDefault="005A2B29" w14:paraId="0DA435F5" w14:textId="20C09D0A">
            <w:pPr>
              <w:spacing w:after="160"/>
              <w:ind w:left="1560" w:hanging="851"/>
            </w:pPr>
            <w:r w:rsidRPr="0027464B">
              <w:t>4.2.1</w:t>
            </w:r>
            <w:r w:rsidRPr="0027464B">
              <w:tab/>
            </w:r>
            <w:r w:rsidRPr="0027464B">
              <w:t>die teilweise oder vollständige Erfüllung der Nachrangforderungen einen Grund im Sinne der §§ 16 ff. InsO für die Eröffnung des Insolvenzverfahrens über das Vermögen</w:t>
            </w:r>
            <w:r>
              <w:t xml:space="preserve"> der Emittentin herbeiführen würde, also zu einer Zahlungsunfähigkeit (§ 17 InsO) oder Überschuldung (§ 19 InsO) der Emittentin führen würde</w:t>
            </w:r>
            <w:r w:rsidRPr="0027464B">
              <w:t>, oder ein solcher Grund bereits besteht (</w:t>
            </w:r>
            <w:r>
              <w:t xml:space="preserve">sogenannte </w:t>
            </w:r>
            <w:r w:rsidRPr="0027464B">
              <w:t>„</w:t>
            </w:r>
            <w:proofErr w:type="spellStart"/>
            <w:r w:rsidRPr="0027464B">
              <w:t>vorinsolvenzliche</w:t>
            </w:r>
            <w:proofErr w:type="spellEnd"/>
            <w:r w:rsidRPr="0027464B">
              <w:t xml:space="preserve"> Durchsetzungssperre“) Dies gilt auch für den Fall, dass Nachrangforderungen für sich genommen keine Überschuldung im Sinne von § 19 InsO und keine Zahlungsunfähigkeit im Sinne von § 17 InsO begründen, aber die Summe aller Forderungen gegen die Emittentin eine</w:t>
            </w:r>
            <w:r>
              <w:t>n Grund für die Eröffnung des Insolvenzverfahrens über das Vermögen der Emittentin</w:t>
            </w:r>
            <w:r w:rsidRPr="0027464B">
              <w:t xml:space="preserve"> begründen würde;</w:t>
            </w:r>
          </w:p>
          <w:p w:rsidR="005A2B29" w:rsidP="005A2B29" w:rsidRDefault="005A2B29" w14:paraId="6FB6A389" w14:textId="77777777">
            <w:pPr>
              <w:spacing w:after="160"/>
              <w:ind w:left="1560" w:hanging="851"/>
            </w:pPr>
            <w:r>
              <w:t>4.2.2</w:t>
            </w:r>
            <w:r>
              <w:tab/>
            </w:r>
            <w:r>
              <w:t>im Falle der Liquidation der Emittentin Forderungen der nicht im Rang hinter den Forderungen im Sinne des § 39 Abs. 1 Nr. 1 bis 5 InsO nachrangigen Gläubiger aus dem Vermögen der Emittentin noch nicht vollständig erfüllt worden sind.</w:t>
            </w:r>
          </w:p>
          <w:p w:rsidRPr="002F08F2" w:rsidR="005A2B29" w:rsidP="005A2B29" w:rsidRDefault="005A2B29" w14:paraId="4CACAD10" w14:textId="0CB58CB7">
            <w:pPr>
              <w:spacing w:after="160"/>
              <w:ind w:left="708" w:hanging="708"/>
            </w:pPr>
            <w:r>
              <w:t>4.3</w:t>
            </w:r>
            <w:r>
              <w:tab/>
            </w:r>
            <w:r>
              <w:t xml:space="preserve">Die Erfüllung der Nachrangforderungen durch die Emittentin kann darüber hinaus außerhalb eines Insolvenzverfahrens nur nachrangig und erst nach Befriedigung sämtlicher anderer Gläubiger (mit Ausnahme der anderen nachrangigen oder gleichrangigen Gläubiger) der Emittentin aus etwaigen frei verfügbaren künftigen (i) </w:t>
            </w:r>
            <w:r w:rsidRPr="000467E3">
              <w:t>Jahresüberschüssen</w:t>
            </w:r>
            <w:r>
              <w:t xml:space="preserve">, (ii) Liquidationsüberschüssen oder (iii) aus dem die sonstigen Verbindlichkeiten der Emittentin übersteigenden frei verfügbaren Vermögen, das nach Befriedigung sämtlicher anderer Gläubiger (mit Ausnahme von anderen nachrangigen oder gleichrangigen Gläubigern) </w:t>
            </w:r>
            <w:r>
              <w:t xml:space="preserve">verbleibt und bei </w:t>
            </w:r>
            <w:r w:rsidRPr="002F08F2">
              <w:t>werbender Gesellschaft nicht zur Erhaltung des satzungsmäßigen Kapitals der Emittentin erforderlich ist (sonstiges freies Vermögen), geltend gemacht werden.</w:t>
            </w:r>
          </w:p>
          <w:p w:rsidRPr="002F08F2" w:rsidR="005A2B29" w:rsidP="005A2B29" w:rsidRDefault="005A2B29" w14:paraId="1778270A" w14:textId="77777777">
            <w:pPr>
              <w:spacing w:after="160"/>
              <w:ind w:left="708" w:hanging="708"/>
            </w:pPr>
            <w:r w:rsidRPr="002F08F2">
              <w:t>4.4</w:t>
            </w:r>
            <w:r w:rsidRPr="002F08F2">
              <w:tab/>
            </w:r>
            <w:r w:rsidRPr="002F08F2">
              <w:t>Diese Ziffer 4 stellt eine Vereinbarung zugunsten der übrigen Gläubiger der Emittentin gemäß § 328 BGB dar; sie kann nur geändert oder aufgehoben werden, wenn und solange keine Überschuldung oder Zahlungsunfähigkeit vorliegt oder droht (auch nicht infolge der Befriedigung der Forderungen der Emittentin).</w:t>
            </w:r>
          </w:p>
          <w:p w:rsidRPr="002F08F2" w:rsidR="005A2B29" w:rsidP="005A2B29" w:rsidRDefault="005A2B29" w14:paraId="777E7782" w14:textId="0595EED6">
            <w:pPr>
              <w:spacing w:after="160"/>
              <w:ind w:left="708" w:hanging="708"/>
            </w:pPr>
            <w:r w:rsidRPr="002F08F2">
              <w:t>4.5</w:t>
            </w:r>
            <w:r w:rsidRPr="002F08F2">
              <w:tab/>
            </w:r>
            <w:r w:rsidRPr="002F08F2">
              <w:t>Soweit eine Nachrangforderung unter Verstoß gegen die vorstehenden Bestimmungen befriedigt wird, ist das insoweit Erlangte ungeachtet anderer Vereinbarungen an die Emittentin zurückzugewähren. Der Anleihegläubiger verpflichtet sich, keine Zahlung einer Nachforderung unter Verstoß gegen diese Ziffer 4</w:t>
            </w:r>
            <w:r w:rsidRPr="002F08F2" w:rsidR="00CE2607">
              <w:t xml:space="preserve"> </w:t>
            </w:r>
            <w:r w:rsidRPr="002F08F2">
              <w:t>zu verlangen.</w:t>
            </w:r>
          </w:p>
          <w:p w:rsidR="005A2B29" w:rsidP="005A2B29" w:rsidRDefault="005A2B29" w14:paraId="66EB1F76" w14:textId="111F2355">
            <w:pPr>
              <w:spacing w:after="160"/>
              <w:ind w:left="708" w:hanging="708"/>
            </w:pPr>
            <w:r w:rsidRPr="002F08F2">
              <w:t>4.6</w:t>
            </w:r>
            <w:r w:rsidRPr="002F08F2">
              <w:tab/>
            </w:r>
            <w:r w:rsidRPr="002F08F2">
              <w:t>Der Anleihegläubiger erklärt durch die vorstehenden Regelungen keinen Verzicht auf seine Ansprüche aus den Schuldverschreibungen.</w:t>
            </w:r>
            <w:r>
              <w:t xml:space="preserve"> </w:t>
            </w:r>
          </w:p>
        </w:tc>
      </w:tr>
    </w:tbl>
    <w:p w:rsidR="004821F2" w:rsidP="00257BCD" w:rsidRDefault="00AB3D83" w14:paraId="228AF34D" w14:textId="57FD8ABD">
      <w:pPr>
        <w:pStyle w:val="Heading2"/>
        <w:ind w:left="709" w:hanging="709"/>
      </w:pPr>
      <w:r>
        <w:t>5</w:t>
      </w:r>
      <w:r w:rsidR="004821F2">
        <w:t>.</w:t>
      </w:r>
      <w:r w:rsidR="004821F2">
        <w:tab/>
      </w:r>
      <w:r w:rsidR="004821F2">
        <w:t>Einzahlungen</w:t>
      </w:r>
    </w:p>
    <w:p w:rsidR="004821F2" w:rsidP="00E87F61" w:rsidRDefault="00C97760" w14:paraId="10DE1A65" w14:textId="6BB6292C">
      <w:pPr>
        <w:ind w:left="708"/>
      </w:pPr>
      <w:r>
        <w:t>D</w:t>
      </w:r>
      <w:r w:rsidR="00DA6D3A">
        <w:t>i</w:t>
      </w:r>
      <w:r w:rsidR="004821F2">
        <w:t xml:space="preserve">e Einzahlung des gezeichneten </w:t>
      </w:r>
      <w:r w:rsidR="00AD1038">
        <w:t xml:space="preserve">Betrags </w:t>
      </w:r>
      <w:r w:rsidR="004821F2">
        <w:t xml:space="preserve">der Schuldverschreibungen durch den </w:t>
      </w:r>
      <w:r w:rsidR="00FD0BD2">
        <w:t>Anleihegläubiger</w:t>
      </w:r>
      <w:r w:rsidR="004821F2">
        <w:t xml:space="preserve"> </w:t>
      </w:r>
      <w:r w:rsidR="00F10E61">
        <w:t xml:space="preserve">erfolgt </w:t>
      </w:r>
      <w:r w:rsidR="004821F2">
        <w:t xml:space="preserve">mit Erfüllungswirkung </w:t>
      </w:r>
      <w:r w:rsidR="003F35FE">
        <w:t>durch</w:t>
      </w:r>
      <w:r w:rsidR="00AD1038">
        <w:t xml:space="preserve"> Übertragung der finanziellen Mittel auf der Kazpar-Plattform von dem für den Anleihegläubiger angelegten und mit einer virtuellen IBAN versehenen Konto auf das für diese Schuldverschreibungen vorgesehene </w:t>
      </w:r>
      <w:proofErr w:type="gramStart"/>
      <w:r w:rsidR="00AD1038">
        <w:t>Projektkonto.</w:t>
      </w:r>
      <w:r w:rsidR="00F10E61">
        <w:t>.</w:t>
      </w:r>
      <w:proofErr w:type="gramEnd"/>
      <w:r w:rsidR="0019704B">
        <w:t xml:space="preserve"> </w:t>
      </w:r>
    </w:p>
    <w:p w:rsidR="004821F2" w:rsidP="008E0FFF" w:rsidRDefault="00BE4669" w14:paraId="4945EE55" w14:textId="36F72F46">
      <w:pPr>
        <w:pStyle w:val="Heading2"/>
        <w:jc w:val="left"/>
      </w:pPr>
      <w:r>
        <w:t>6</w:t>
      </w:r>
      <w:r w:rsidR="004821F2">
        <w:t>.</w:t>
      </w:r>
      <w:r w:rsidR="004821F2">
        <w:tab/>
      </w:r>
      <w:r w:rsidR="004821F2">
        <w:t>Laufzeit</w:t>
      </w:r>
    </w:p>
    <w:p w:rsidR="004821F2" w:rsidP="004E0819" w:rsidRDefault="004821F2" w14:paraId="1AD5023B" w14:textId="75EFE9FE">
      <w:pPr>
        <w:ind w:left="708"/>
      </w:pPr>
      <w:r>
        <w:t xml:space="preserve">Die Laufzeit der Schuldverschreibungen beginnt am </w:t>
      </w:r>
      <w:r>
        <w:rPr>
          <w:highlight w:val="yellow"/>
        </w:rPr>
        <w:t>[</w:t>
      </w:r>
      <w:r w:rsidR="00205077">
        <w:rPr>
          <w:highlight w:val="yellow"/>
        </w:rPr>
        <w:t xml:space="preserve">Datum </w:t>
      </w:r>
      <w:r>
        <w:rPr>
          <w:highlight w:val="yellow"/>
        </w:rPr>
        <w:t>Laufzeitbeginn]</w:t>
      </w:r>
      <w:r w:rsidR="00A21CB7">
        <w:t xml:space="preserve"> („</w:t>
      </w:r>
      <w:r w:rsidRPr="00A21CB7" w:rsidR="00A21CB7">
        <w:rPr>
          <w:b/>
          <w:bCs/>
        </w:rPr>
        <w:t>Laufzeitbeginn</w:t>
      </w:r>
      <w:r w:rsidR="00A21CB7">
        <w:t>“)</w:t>
      </w:r>
      <w:r w:rsidR="005F5203">
        <w:t xml:space="preserve"> u</w:t>
      </w:r>
      <w:r w:rsidRPr="005F5203" w:rsidR="005F5203">
        <w:t>nd</w:t>
      </w:r>
      <w:r w:rsidRPr="005F5203" w:rsidR="00F603C5">
        <w:t xml:space="preserve"> endet </w:t>
      </w:r>
      <w:r w:rsidR="00D47DA4">
        <w:t>automatisch (i) mit der auflagenfreien und vollständigen Zahlung des Darlehensbetrags aus der externen Refinanzierung des Assets an die Emittentin („</w:t>
      </w:r>
      <w:r w:rsidRPr="00D47DA4" w:rsidR="00D47DA4">
        <w:rPr>
          <w:b/>
          <w:bCs/>
        </w:rPr>
        <w:t>Refinanzierung</w:t>
      </w:r>
      <w:r w:rsidR="00D47DA4">
        <w:t>“)</w:t>
      </w:r>
      <w:r w:rsidRPr="005F5203" w:rsidR="005F5203">
        <w:t xml:space="preserve"> oder </w:t>
      </w:r>
      <w:r w:rsidR="00D47DA4">
        <w:t xml:space="preserve">(ii) </w:t>
      </w:r>
      <w:r w:rsidRPr="005F5203" w:rsidR="00F603C5">
        <w:t>mit der auflagenfreien und vollständigen Zahlung des Kaufpreises aus dem vollständigen Verkauf des Assets</w:t>
      </w:r>
      <w:r w:rsidRPr="005F5203" w:rsidR="00205285">
        <w:t xml:space="preserve"> an die Emittentin</w:t>
      </w:r>
      <w:r w:rsidRPr="005F5203" w:rsidR="00F603C5">
        <w:t xml:space="preserve"> („</w:t>
      </w:r>
      <w:r w:rsidRPr="005F5203" w:rsidR="00CE191C">
        <w:rPr>
          <w:b/>
          <w:bCs/>
        </w:rPr>
        <w:t>Veräußerung</w:t>
      </w:r>
      <w:r w:rsidRPr="005F5203" w:rsidR="00F603C5">
        <w:t>“)</w:t>
      </w:r>
      <w:r w:rsidRPr="005F5203" w:rsidR="00AB17F7">
        <w:t>, ohne dass es einer Kündigung durch die Emittentin bedarf</w:t>
      </w:r>
      <w:r w:rsidR="00D47DA4">
        <w:t>, jedoch spätestens mit Ablauf des</w:t>
      </w:r>
      <w:r w:rsidRPr="005F5203" w:rsidR="00D47DA4">
        <w:t xml:space="preserve"> </w:t>
      </w:r>
      <w:r w:rsidRPr="005F5203" w:rsidR="00D47DA4">
        <w:rPr>
          <w:highlight w:val="yellow"/>
        </w:rPr>
        <w:t>[Datum Laufzeitende]</w:t>
      </w:r>
      <w:r w:rsidR="00D47DA4">
        <w:t>,</w:t>
      </w:r>
      <w:r w:rsidR="004F316A">
        <w:t xml:space="preserve"> (</w:t>
      </w:r>
      <w:r w:rsidR="007E23DA">
        <w:t xml:space="preserve">jeweils </w:t>
      </w:r>
      <w:r w:rsidR="004F316A">
        <w:t>„</w:t>
      </w:r>
      <w:r w:rsidRPr="004F316A" w:rsidR="004F316A">
        <w:rPr>
          <w:b/>
          <w:bCs/>
        </w:rPr>
        <w:t>Laufzeitende</w:t>
      </w:r>
      <w:r w:rsidR="004F316A">
        <w:t>“)</w:t>
      </w:r>
      <w:r w:rsidRPr="005F5203" w:rsidR="00F603C5">
        <w:t>.</w:t>
      </w:r>
      <w:r w:rsidRPr="005F5203">
        <w:t xml:space="preserve"> </w:t>
      </w:r>
    </w:p>
    <w:p w:rsidRPr="00FD2494" w:rsidR="003E782D" w:rsidP="003E782D" w:rsidRDefault="00FD2494" w14:paraId="222876DD" w14:textId="7AC35FA5">
      <w:pPr>
        <w:ind w:left="708"/>
      </w:pPr>
      <w:r w:rsidRPr="00FD2494">
        <w:t xml:space="preserve">Die Emittentin ist berechtigt, </w:t>
      </w:r>
      <w:r w:rsidR="00D47DA4">
        <w:t xml:space="preserve">einmalig oder mehrmals </w:t>
      </w:r>
      <w:r w:rsidRPr="00FD2494">
        <w:t xml:space="preserve">eine Abstimmung über die Verlängerung der </w:t>
      </w:r>
      <w:r w:rsidR="00D47DA4">
        <w:t xml:space="preserve">zum </w:t>
      </w:r>
      <w:r w:rsidRPr="005F5203" w:rsidR="00D47DA4">
        <w:rPr>
          <w:highlight w:val="yellow"/>
        </w:rPr>
        <w:t>[Datum Laufzeitende]</w:t>
      </w:r>
      <w:r w:rsidR="00D47DA4">
        <w:t xml:space="preserve"> endenden </w:t>
      </w:r>
      <w:r w:rsidRPr="00FD2494">
        <w:t xml:space="preserve">Laufzeit einzuleiten. </w:t>
      </w:r>
      <w:r w:rsidRPr="00FD2494" w:rsidR="003E782D">
        <w:t>Beabsichtigt die Emittentin</w:t>
      </w:r>
      <w:r w:rsidRPr="00FD2494">
        <w:t>, über</w:t>
      </w:r>
      <w:r w:rsidRPr="00FD2494" w:rsidR="003E782D">
        <w:t xml:space="preserve"> die </w:t>
      </w:r>
      <w:r w:rsidRPr="00FD2494">
        <w:t>Verlängerung der Laufzeit abstimmen zu lassen,</w:t>
      </w:r>
      <w:r w:rsidRPr="00FD2494" w:rsidR="003E782D">
        <w:t xml:space="preserve"> so hat sie die Anleihegläubiger vor Durchführung der </w:t>
      </w:r>
      <w:r w:rsidRPr="00FD2494">
        <w:t>Abstimmung</w:t>
      </w:r>
      <w:r>
        <w:t xml:space="preserve"> durch Mitteilung</w:t>
      </w:r>
      <w:r w:rsidRPr="00FD2494" w:rsidR="003E782D">
        <w:t xml:space="preserve"> gemäß Ziffer</w:t>
      </w:r>
      <w:r w:rsidRPr="00FD2494">
        <w:t> </w:t>
      </w:r>
      <w:r w:rsidRPr="00FD2494" w:rsidR="003E782D">
        <w:t>1</w:t>
      </w:r>
      <w:r w:rsidR="004E0FFF">
        <w:t>4</w:t>
      </w:r>
      <w:r w:rsidRPr="00FD2494" w:rsidR="003E782D">
        <w:t xml:space="preserve"> dieser Anleihebedingungen </w:t>
      </w:r>
      <w:r w:rsidRPr="00FD2494">
        <w:t>zu informieren</w:t>
      </w:r>
      <w:r>
        <w:t xml:space="preserve">. </w:t>
      </w:r>
      <w:r w:rsidRPr="00FD2494" w:rsidR="003E782D">
        <w:t xml:space="preserve">In der Mitteilung </w:t>
      </w:r>
      <w:r w:rsidRPr="00FD2494">
        <w:t>ist das Datum anzugeben, bis zu dem die Laufzeit verlängert werden soll</w:t>
      </w:r>
      <w:r>
        <w:t>, sowie eine Begründung für die Abstimmung über die Laufzeitverlängerung mitzuteilen.</w:t>
      </w:r>
    </w:p>
    <w:p w:rsidRPr="00862E37" w:rsidR="003E782D" w:rsidP="003E782D" w:rsidRDefault="003E782D" w14:paraId="0564AF8A" w14:textId="6E6FC0F4">
      <w:pPr>
        <w:ind w:left="708"/>
      </w:pPr>
      <w:r w:rsidRPr="00862E37">
        <w:t xml:space="preserve">Mit </w:t>
      </w:r>
      <w:r w:rsidRPr="00862E37" w:rsidR="00FD2494">
        <w:t>der</w:t>
      </w:r>
      <w:r w:rsidRPr="00862E37">
        <w:t xml:space="preserve"> Mitteilung informiert die Emittentin die Anleihegläubiger auch über die Einleitung einer Abstimmung über die Zustimmung zur beabsichtigten </w:t>
      </w:r>
      <w:r w:rsidRPr="00862E37" w:rsidR="00FD2494">
        <w:t xml:space="preserve">Verlängerung der Laufzeit. </w:t>
      </w:r>
      <w:r w:rsidRPr="00862E37">
        <w:t xml:space="preserve">Die Stimmen sind elektronisch </w:t>
      </w:r>
      <w:r w:rsidR="00862E37">
        <w:t xml:space="preserve">auf der Kazpar-Plattform </w:t>
      </w:r>
      <w:r w:rsidRPr="00862E37">
        <w:t>abzugeben. Die Emittentin ist berechtigt, die näheren Modalitäten der Abstimmung im elektronischen Umlaufverfahren</w:t>
      </w:r>
      <w:r w:rsidR="00862E37">
        <w:t>, insbesondere die Frist zur Stimmabgabe,</w:t>
      </w:r>
      <w:r w:rsidRPr="00862E37">
        <w:t xml:space="preserve"> festzulegen und den Anleihegläubigern zusammen mit der Bekanntmachung der Abstimmung mitzuteilen. </w:t>
      </w:r>
      <w:r w:rsidR="00862E37">
        <w:t xml:space="preserve">Maßgeblich ist die Mehrheit der abgegebenen Stimmen – das Gesetz über Schuldverschreibungen aus Gesamtemissionen </w:t>
      </w:r>
      <w:r w:rsidRPr="00862E37" w:rsidR="00862E37">
        <w:t>(„</w:t>
      </w:r>
      <w:proofErr w:type="spellStart"/>
      <w:r w:rsidRPr="00862E37" w:rsidR="00862E37">
        <w:rPr>
          <w:b/>
          <w:bCs/>
        </w:rPr>
        <w:t>SchVG</w:t>
      </w:r>
      <w:proofErr w:type="spellEnd"/>
      <w:r w:rsidRPr="00862E37" w:rsidR="00862E37">
        <w:t xml:space="preserve">“) findet bei der Abstimmung keine Anwendung. </w:t>
      </w:r>
    </w:p>
    <w:p w:rsidR="003E782D" w:rsidP="003E782D" w:rsidRDefault="003E782D" w14:paraId="02AEFDE7" w14:textId="7E29151C">
      <w:pPr>
        <w:ind w:left="708"/>
      </w:pPr>
      <w:r w:rsidRPr="00862E37">
        <w:t xml:space="preserve">Nach Ablauf </w:t>
      </w:r>
      <w:r w:rsidRPr="00862E37" w:rsidR="00862E37">
        <w:t xml:space="preserve">einer von der Emittentin gesetzten </w:t>
      </w:r>
      <w:r w:rsidRPr="00862E37">
        <w:t>Abstimmungsfrist gibt die Emittentin das Ergebnis der Abstimmung in der Form gemäß Ziffer</w:t>
      </w:r>
      <w:r w:rsidRPr="00862E37" w:rsidR="00862E37">
        <w:t> </w:t>
      </w:r>
      <w:r w:rsidRPr="00862E37">
        <w:t>1</w:t>
      </w:r>
      <w:r w:rsidR="004E0FFF">
        <w:t>4</w:t>
      </w:r>
      <w:r w:rsidRPr="00862E37">
        <w:t xml:space="preserve"> dieser Anleihebedingungen bekannt.</w:t>
      </w:r>
    </w:p>
    <w:p w:rsidR="00AD1038" w:rsidP="003F1671" w:rsidRDefault="00AD1038" w14:paraId="70EA1E3A" w14:textId="008348E4">
      <w:pPr>
        <w:ind w:left="709" w:hanging="709"/>
        <w:outlineLvl w:val="1"/>
        <w:rPr>
          <w:rFonts w:eastAsiaTheme="majorEastAsia" w:cstheme="majorBidi"/>
          <w:b/>
          <w:szCs w:val="26"/>
        </w:rPr>
      </w:pPr>
      <w:r>
        <w:rPr>
          <w:b/>
        </w:rPr>
        <w:t>7.</w:t>
      </w:r>
      <w:r>
        <w:rPr>
          <w:b/>
        </w:rPr>
        <w:tab/>
      </w:r>
      <w:r w:rsidRPr="00AD1038">
        <w:rPr>
          <w:b/>
        </w:rPr>
        <w:t>Anteil am Veräußerungsgewinn; Bonuszins</w:t>
      </w:r>
    </w:p>
    <w:p w:rsidR="004E0FFF" w:rsidP="004E0FFF" w:rsidRDefault="008846E4" w14:paraId="72DB62D5" w14:textId="0FAAA0B4">
      <w:pPr>
        <w:ind w:left="708" w:hanging="708"/>
      </w:pPr>
      <w:r>
        <w:t>7.1</w:t>
      </w:r>
      <w:r w:rsidRPr="002F08F2" w:rsidR="004821F2">
        <w:tab/>
      </w:r>
      <w:r w:rsidR="001F78BC">
        <w:t>Im Falle der Veräußerung werden d</w:t>
      </w:r>
      <w:r w:rsidRPr="002F08F2" w:rsidR="0091472A">
        <w:t>ie Schuldverschreibungen</w:t>
      </w:r>
      <w:r w:rsidR="00D40C00">
        <w:t xml:space="preserve"> zum Nennbetrag zurückgezahlt. </w:t>
      </w:r>
      <w:r w:rsidRPr="00D40C00" w:rsidR="00D40C00">
        <w:t xml:space="preserve">Die Emittentin ist zur Zahlung des </w:t>
      </w:r>
      <w:r w:rsidR="00D40C00">
        <w:t>Nennbetrags in diesem Fall</w:t>
      </w:r>
      <w:r w:rsidRPr="00D40C00" w:rsidR="00D40C00">
        <w:t xml:space="preserve"> nur aus Mitteln aus der Veräußerung des Assets verpflichtet. </w:t>
      </w:r>
      <w:r w:rsidRPr="00BE5237" w:rsidR="004E0FFF">
        <w:t xml:space="preserve">Reicht der </w:t>
      </w:r>
      <w:r w:rsidRPr="000F136F" w:rsidR="004E0FFF">
        <w:t>erzielte Veräußerungserlös des Assets abzüglich der in Ziffern 7.2.1 bis 7.2.</w:t>
      </w:r>
      <w:r w:rsidRPr="000F136F" w:rsidR="000F136F">
        <w:t>3</w:t>
      </w:r>
      <w:r w:rsidRPr="000F136F" w:rsidR="004E0FFF">
        <w:t xml:space="preserve"> genannten </w:t>
      </w:r>
      <w:r w:rsidR="00E84968">
        <w:t>Abzugsp</w:t>
      </w:r>
      <w:r w:rsidRPr="000F136F" w:rsidR="004E0FFF">
        <w:t>osten</w:t>
      </w:r>
      <w:r w:rsidR="004E0FFF">
        <w:t xml:space="preserve"> </w:t>
      </w:r>
      <w:r w:rsidRPr="00BE5237" w:rsidR="004E0FFF">
        <w:t xml:space="preserve">nicht für die Zahlung aller </w:t>
      </w:r>
      <w:r w:rsidR="004E0FFF">
        <w:t>Nennbeträge</w:t>
      </w:r>
      <w:r w:rsidRPr="00BE5237" w:rsidR="004E0FFF">
        <w:t xml:space="preserve"> aus, so entfällt</w:t>
      </w:r>
      <w:r w:rsidR="004E0FFF">
        <w:t xml:space="preserve"> </w:t>
      </w:r>
      <w:r w:rsidRPr="00BE5237" w:rsidR="004E0FFF">
        <w:t xml:space="preserve">ein darüber hinaus gehender Teil der </w:t>
      </w:r>
      <w:r w:rsidR="004E0FFF">
        <w:t>Nennbeträge der Schuldverschreibungen</w:t>
      </w:r>
      <w:r w:rsidRPr="00BE5237" w:rsidR="004E0FFF">
        <w:t>.</w:t>
      </w:r>
    </w:p>
    <w:p w:rsidRPr="00A122CC" w:rsidR="00D5170F" w:rsidP="0091472A" w:rsidRDefault="008846E4" w14:paraId="68EA8456" w14:textId="4C9C49DD">
      <w:pPr>
        <w:ind w:left="708" w:hanging="708"/>
        <w:rPr>
          <w:highlight w:val="cyan"/>
        </w:rPr>
      </w:pPr>
      <w:r>
        <w:t>7.2</w:t>
      </w:r>
      <w:r w:rsidRPr="002F08F2" w:rsidR="00CE191C">
        <w:tab/>
      </w:r>
      <w:r w:rsidR="00666C9B">
        <w:t xml:space="preserve">Darüber hinaus steht den Anlegern </w:t>
      </w:r>
      <w:r w:rsidR="004E0819">
        <w:t xml:space="preserve">im Falle der Veräußerung </w:t>
      </w:r>
      <w:r w:rsidR="00666C9B">
        <w:t xml:space="preserve">ein Anteil am Nettoveräußerungsgewinn zu. </w:t>
      </w:r>
      <w:r w:rsidRPr="00BE346D" w:rsidR="0091472A">
        <w:t>„</w:t>
      </w:r>
      <w:r w:rsidRPr="00BE346D" w:rsidR="008C4F81">
        <w:rPr>
          <w:b/>
          <w:bCs/>
        </w:rPr>
        <w:t>Nettov</w:t>
      </w:r>
      <w:r w:rsidRPr="00BE346D" w:rsidR="0091472A">
        <w:rPr>
          <w:b/>
          <w:bCs/>
        </w:rPr>
        <w:t>eräußerungs</w:t>
      </w:r>
      <w:r w:rsidR="00666C9B">
        <w:rPr>
          <w:b/>
          <w:bCs/>
        </w:rPr>
        <w:t>gewinn</w:t>
      </w:r>
      <w:r w:rsidRPr="00BE346D" w:rsidR="0091472A">
        <w:t xml:space="preserve">“ </w:t>
      </w:r>
      <w:r w:rsidRPr="00BE346D" w:rsidR="0073557A">
        <w:t xml:space="preserve">bezeichnet den bei der Veräußerung erzielten Kaufpreis </w:t>
      </w:r>
      <w:r w:rsidRPr="00BE346D" w:rsidR="0091472A">
        <w:t xml:space="preserve">abzüglich </w:t>
      </w:r>
    </w:p>
    <w:p w:rsidR="004E0819" w:rsidP="00BE346D" w:rsidRDefault="004E0819" w14:paraId="583426FC" w14:textId="33401895">
      <w:pPr>
        <w:ind w:left="1560" w:hanging="851"/>
      </w:pPr>
      <w:r>
        <w:t>7.2.1</w:t>
      </w:r>
      <w:r>
        <w:tab/>
      </w:r>
      <w:r>
        <w:t>des Kaufpreises für den Erwerb des Assets;</w:t>
      </w:r>
    </w:p>
    <w:p w:rsidR="00BE346D" w:rsidP="00BE346D" w:rsidRDefault="004E0819" w14:paraId="4373A9EC" w14:textId="1B760D29">
      <w:pPr>
        <w:ind w:left="1560" w:hanging="851"/>
      </w:pPr>
      <w:r>
        <w:t>7.2.2</w:t>
      </w:r>
      <w:r w:rsidR="00BE346D">
        <w:tab/>
      </w:r>
      <w:r w:rsidR="00BE346D">
        <w:t xml:space="preserve">der </w:t>
      </w:r>
      <w:r>
        <w:t xml:space="preserve">im Zusammenhang mit dem Erwerb und der Veräußerung des Assets </w:t>
      </w:r>
      <w:r w:rsidR="00BE346D">
        <w:t xml:space="preserve">von der Emittentin zu tragenden </w:t>
      </w:r>
      <w:r>
        <w:t>Kosten</w:t>
      </w:r>
      <w:r w:rsidR="00BE346D">
        <w:t xml:space="preserve">, d. h. Kosten, Gebühren oder sonstige Aufwendungen, die im Zusammenhang mit </w:t>
      </w:r>
      <w:r>
        <w:t xml:space="preserve">dem Erwerb oder der </w:t>
      </w:r>
      <w:r w:rsidR="00BE346D">
        <w:t>Veräußerung des Assets entstanden sind; hierunter können insbesondere fallen:</w:t>
      </w:r>
    </w:p>
    <w:p w:rsidRPr="00356C6C" w:rsidR="00BE346D" w:rsidP="00356C6C" w:rsidRDefault="00BE346D" w14:paraId="474A9B60" w14:textId="77777777">
      <w:pPr>
        <w:ind w:left="2410" w:hanging="851"/>
      </w:pPr>
      <w:r w:rsidRPr="00356C6C">
        <w:t>(i)</w:t>
      </w:r>
      <w:r w:rsidRPr="00356C6C">
        <w:tab/>
      </w:r>
      <w:r w:rsidRPr="00356C6C">
        <w:t>Steuern und öffentliche Abgaben, z. B. die Grunderwerbsteuer und Grundbuchkosten;</w:t>
      </w:r>
    </w:p>
    <w:p w:rsidRPr="00356C6C" w:rsidR="00BE346D" w:rsidP="00356C6C" w:rsidRDefault="00BE346D" w14:paraId="14378725" w14:textId="77777777">
      <w:pPr>
        <w:ind w:left="2410" w:hanging="851"/>
      </w:pPr>
      <w:r w:rsidRPr="00356C6C">
        <w:t>(ii)</w:t>
      </w:r>
      <w:r w:rsidRPr="00356C6C">
        <w:tab/>
      </w:r>
      <w:r w:rsidRPr="00356C6C">
        <w:t>Provisionen, Courtage und Maklergebühren;</w:t>
      </w:r>
    </w:p>
    <w:p w:rsidRPr="00356C6C" w:rsidR="00BE346D" w:rsidP="00356C6C" w:rsidRDefault="00BE346D" w14:paraId="3148650B" w14:textId="77777777">
      <w:pPr>
        <w:ind w:left="2410" w:hanging="851"/>
      </w:pPr>
      <w:r w:rsidRPr="00356C6C">
        <w:t>(iii)</w:t>
      </w:r>
      <w:r w:rsidRPr="00356C6C">
        <w:tab/>
      </w:r>
      <w:r w:rsidRPr="00356C6C">
        <w:t>Kosten für die Beauftragung externer Berater, z. B. Rechtsanwälte, Gutachter, Steuerberater;</w:t>
      </w:r>
    </w:p>
    <w:p w:rsidRPr="00356C6C" w:rsidR="00BE346D" w:rsidP="00356C6C" w:rsidRDefault="00BE346D" w14:paraId="41591F3A" w14:textId="77777777">
      <w:pPr>
        <w:ind w:left="2410" w:hanging="851"/>
      </w:pPr>
      <w:r w:rsidRPr="00356C6C">
        <w:t>(iv)</w:t>
      </w:r>
      <w:r w:rsidRPr="00356C6C">
        <w:tab/>
      </w:r>
      <w:r w:rsidRPr="00356C6C">
        <w:t>etwaige Tilgungszahlungen und die Zahlung einer etwaigen Vorfälligkeitsentschädigung an eine finanzierende Bank;</w:t>
      </w:r>
    </w:p>
    <w:p w:rsidR="00BE346D" w:rsidP="00356C6C" w:rsidRDefault="00BE346D" w14:paraId="60F0AE97" w14:textId="49BFB011">
      <w:pPr>
        <w:ind w:left="2410" w:hanging="851"/>
      </w:pPr>
      <w:r w:rsidRPr="00356C6C">
        <w:t>(vi)</w:t>
      </w:r>
      <w:r w:rsidRPr="00356C6C">
        <w:tab/>
      </w:r>
      <w:r w:rsidRPr="00356C6C">
        <w:t>der ggf. anfallenden, voraussichtlichen Gewerbe- oder anderen Steuerbelastung der Emittentin aus der Veräußerung des Assets.</w:t>
      </w:r>
    </w:p>
    <w:p w:rsidR="004E0819" w:rsidP="00BE346D" w:rsidRDefault="004E0819" w14:paraId="4B433E23" w14:textId="6DA03F3A">
      <w:pPr>
        <w:ind w:left="1560" w:hanging="851"/>
      </w:pPr>
      <w:r>
        <w:t>7.2.3</w:t>
      </w:r>
      <w:r w:rsidR="00BE346D">
        <w:tab/>
      </w:r>
      <w:r>
        <w:t>der folgenden von der Emittentin an die Kazpar GmbH zu entrichtenden Gebühren:</w:t>
      </w:r>
    </w:p>
    <w:p w:rsidR="000F136F" w:rsidP="000F136F" w:rsidRDefault="004E0819" w14:paraId="50C1A3AE" w14:textId="68873F71">
      <w:pPr>
        <w:ind w:left="2410" w:hanging="851"/>
      </w:pPr>
      <w:r>
        <w:t>a)</w:t>
      </w:r>
      <w:r>
        <w:tab/>
      </w:r>
      <w:r w:rsidR="000F136F">
        <w:t>Fixgebühren für die Anmeldung und Veröffentlichung der Schuldverschreibung in Höhe von EUR </w:t>
      </w:r>
      <w:r w:rsidRPr="0072325F" w:rsidR="000F136F">
        <w:rPr>
          <w:highlight w:val="yellow"/>
        </w:rPr>
        <w:t>[</w:t>
      </w:r>
      <w:r w:rsidR="00B45299">
        <w:rPr>
          <w:highlight w:val="yellow"/>
        </w:rPr>
        <w:t>495</w:t>
      </w:r>
      <w:r w:rsidRPr="0072325F" w:rsidR="000F136F">
        <w:rPr>
          <w:highlight w:val="yellow"/>
        </w:rPr>
        <w:t>]</w:t>
      </w:r>
      <w:r w:rsidR="00B45299">
        <w:t xml:space="preserve"> (Anmeld</w:t>
      </w:r>
      <w:r w:rsidR="00F44FC6">
        <w:t>u</w:t>
      </w:r>
      <w:r w:rsidR="00B45299">
        <w:t>ng)</w:t>
      </w:r>
      <w:r w:rsidR="00F44FC6">
        <w:t xml:space="preserve"> und EUR [</w:t>
      </w:r>
      <w:r w:rsidRPr="00BA32E7" w:rsidR="00F44FC6">
        <w:rPr>
          <w:highlight w:val="yellow"/>
        </w:rPr>
        <w:t>995</w:t>
      </w:r>
      <w:r w:rsidR="00F44FC6">
        <w:t>]</w:t>
      </w:r>
      <w:r w:rsidR="00BA32E7">
        <w:t xml:space="preserve"> (Veröffentlichung)</w:t>
      </w:r>
      <w:r w:rsidR="000F136F">
        <w:t>;</w:t>
      </w:r>
    </w:p>
    <w:p w:rsidR="000F136F" w:rsidP="000F136F" w:rsidRDefault="000F136F" w14:paraId="2505435E" w14:textId="028BBA94">
      <w:pPr>
        <w:ind w:left="2410" w:hanging="851"/>
      </w:pPr>
      <w:r>
        <w:t>b)</w:t>
      </w:r>
      <w:r>
        <w:tab/>
      </w:r>
      <w:r w:rsidR="004E0819">
        <w:t xml:space="preserve">eine während der Laufzeit monatlich an die Kazpar zu entrichtende Verwaltungsgebühr in Höhe von </w:t>
      </w:r>
      <w:r w:rsidRPr="0072325F">
        <w:rPr>
          <w:highlight w:val="yellow"/>
        </w:rPr>
        <w:t>[</w:t>
      </w:r>
      <w:r w:rsidRPr="0072325F" w:rsidR="004E0819">
        <w:rPr>
          <w:highlight w:val="yellow"/>
        </w:rPr>
        <w:t>1</w:t>
      </w:r>
      <w:r w:rsidRPr="0072325F">
        <w:rPr>
          <w:highlight w:val="yellow"/>
        </w:rPr>
        <w:t>]</w:t>
      </w:r>
      <w:r w:rsidR="004E0819">
        <w:t> % des Gesamtnennbetrags der Schuldverschreibungsbedingungen pro Jahr</w:t>
      </w:r>
      <w:r w:rsidR="00E84968">
        <w:t>;</w:t>
      </w:r>
    </w:p>
    <w:p w:rsidRPr="00E84968" w:rsidR="007749BF" w:rsidP="004E0819" w:rsidRDefault="000F136F" w14:paraId="1CA2AFF4" w14:textId="674B3120">
      <w:pPr>
        <w:ind w:left="2410" w:hanging="851"/>
      </w:pPr>
      <w:r w:rsidRPr="008010D8">
        <w:t>c</w:t>
      </w:r>
      <w:r w:rsidRPr="000F136F">
        <w:t>)</w:t>
      </w:r>
      <w:r w:rsidRPr="000F136F">
        <w:tab/>
      </w:r>
      <w:r w:rsidRPr="008010D8">
        <w:t xml:space="preserve">eine Erfolgsgebühr in Höhe von </w:t>
      </w:r>
      <w:r w:rsidRPr="008010D8">
        <w:rPr>
          <w:highlight w:val="yellow"/>
        </w:rPr>
        <w:t>[5]</w:t>
      </w:r>
      <w:r>
        <w:t> </w:t>
      </w:r>
      <w:r w:rsidRPr="0088029E">
        <w:t>%</w:t>
      </w:r>
      <w:r w:rsidRPr="008010D8">
        <w:t xml:space="preserve"> des </w:t>
      </w:r>
      <w:r>
        <w:t>Gesamtnennbetrags</w:t>
      </w:r>
      <w:r w:rsidR="00E84968">
        <w:t>.</w:t>
      </w:r>
    </w:p>
    <w:p w:rsidR="00BE346D" w:rsidP="005A2B29" w:rsidRDefault="00BE346D" w14:paraId="53509979" w14:textId="7FC20FA1">
      <w:pPr>
        <w:ind w:left="708"/>
      </w:pPr>
      <w:r w:rsidRPr="00BE346D">
        <w:t>Die Abzugsposten sind aus der laufenden Buchhaltung auf Liquiditätsbasis nach dem Zuflussprinzip zu ermitteln. Bezüglich der Abzugsposten sind jeweils die Bruttobeträge (einschließlich etwaiger Umsatzsteuer) maßgeblich, soweit die Emittentin nicht zum Vorsteuerabzug berechtigt ist.</w:t>
      </w:r>
    </w:p>
    <w:p w:rsidRPr="008719B2" w:rsidR="001F78BC" w:rsidP="0077232C" w:rsidRDefault="00666C9B" w14:paraId="79819F3C" w14:textId="5CC919FD">
      <w:pPr>
        <w:ind w:left="708" w:hanging="708"/>
      </w:pPr>
      <w:r>
        <w:t>7.3</w:t>
      </w:r>
      <w:r>
        <w:tab/>
      </w:r>
      <w:r w:rsidRPr="00666C9B">
        <w:t xml:space="preserve">Den Anlegern stehen </w:t>
      </w:r>
      <w:r w:rsidRPr="00666C9B">
        <w:rPr>
          <w:highlight w:val="yellow"/>
        </w:rPr>
        <w:t>[#]</w:t>
      </w:r>
      <w:r>
        <w:t> </w:t>
      </w:r>
      <w:r w:rsidRPr="00666C9B">
        <w:t>% des Veräußerungsgewinns zu</w:t>
      </w:r>
      <w:r w:rsidR="000F136F">
        <w:t xml:space="preserve">, mindestens aber ein Anteil am Veräußerungsgewinn, der </w:t>
      </w:r>
      <w:r w:rsidRPr="00A3272D" w:rsidR="000F136F">
        <w:rPr>
          <w:highlight w:val="yellow"/>
        </w:rPr>
        <w:t>[</w:t>
      </w:r>
      <w:r w:rsidR="000F136F">
        <w:rPr>
          <w:highlight w:val="yellow"/>
        </w:rPr>
        <w:t>#</w:t>
      </w:r>
      <w:r w:rsidRPr="00A3272D" w:rsidR="000F136F">
        <w:rPr>
          <w:highlight w:val="yellow"/>
        </w:rPr>
        <w:t>]</w:t>
      </w:r>
      <w:r w:rsidR="000F136F">
        <w:t> % de</w:t>
      </w:r>
      <w:r w:rsidR="00295214">
        <w:t>r</w:t>
      </w:r>
      <w:r w:rsidR="000F136F">
        <w:t xml:space="preserve"> </w:t>
      </w:r>
      <w:r w:rsidRPr="00666C9B" w:rsidR="00295214">
        <w:t>Nennbeträge aller von der Emittentin ausgegebenen und nicht (i) für kraftlos erklärten, (ii) an die Emittentin zurück gegebenen oder (iii) gekündigten Schuldverschreibungen</w:t>
      </w:r>
      <w:r w:rsidR="000F136F">
        <w:t xml:space="preserve"> </w:t>
      </w:r>
      <w:r w:rsidR="00295214">
        <w:t>(„</w:t>
      </w:r>
      <w:r w:rsidRPr="0088029E" w:rsidR="00295214">
        <w:rPr>
          <w:b/>
          <w:bCs/>
        </w:rPr>
        <w:t xml:space="preserve">Verbleibender </w:t>
      </w:r>
      <w:r w:rsidR="00295214">
        <w:rPr>
          <w:b/>
          <w:bCs/>
        </w:rPr>
        <w:t>Gesamtn</w:t>
      </w:r>
      <w:r w:rsidRPr="0088029E" w:rsidR="00295214">
        <w:rPr>
          <w:b/>
          <w:bCs/>
        </w:rPr>
        <w:t>ennbetrag</w:t>
      </w:r>
      <w:r w:rsidR="00295214">
        <w:t xml:space="preserve">“) </w:t>
      </w:r>
      <w:r w:rsidR="000F136F">
        <w:t xml:space="preserve">beträgt, soweit </w:t>
      </w:r>
      <w:r w:rsidRPr="00D40C00" w:rsidR="000F136F">
        <w:t>Mittel aus der Veräußerung des Assets</w:t>
      </w:r>
      <w:r w:rsidR="000F136F">
        <w:t xml:space="preserve"> </w:t>
      </w:r>
      <w:r w:rsidRPr="000F136F" w:rsidR="000F136F">
        <w:t xml:space="preserve">abzüglich der in Ziffern 7.2.1 bis 7.2.3 genannten </w:t>
      </w:r>
      <w:r w:rsidR="00E84968">
        <w:t>Abzugsp</w:t>
      </w:r>
      <w:r w:rsidRPr="000F136F" w:rsidR="000F136F">
        <w:t>osten</w:t>
      </w:r>
      <w:r w:rsidR="00277924">
        <w:t xml:space="preserve"> nach Abzug der Nennbeträge verbleiben</w:t>
      </w:r>
      <w:r w:rsidRPr="00666C9B">
        <w:t>. Der den Anlegern hiernach zustehende Betrag wird als „</w:t>
      </w:r>
      <w:r w:rsidRPr="00666C9B">
        <w:rPr>
          <w:b/>
          <w:bCs/>
        </w:rPr>
        <w:t>Anleger-Veräußerungsgewinn</w:t>
      </w:r>
      <w:r w:rsidRPr="00666C9B">
        <w:t xml:space="preserve">“ bezeichnet. Der auf eine Schuldverschreibung entfallende Anteil an dem Anleger-Veräußerungsgewinn entspricht dem Verhältnis des Nennbetrags der Schuldverschreibung zu der Summe </w:t>
      </w:r>
      <w:r w:rsidR="00295214">
        <w:t>des Verbleibenden Gesamtnennbetrags</w:t>
      </w:r>
      <w:r w:rsidRPr="00666C9B">
        <w:t>.</w:t>
      </w:r>
    </w:p>
    <w:p w:rsidRPr="0064624F" w:rsidR="00205285" w:rsidP="00F62F59" w:rsidRDefault="008846E4" w14:paraId="4F5F50FC" w14:textId="7FD45362">
      <w:pPr>
        <w:ind w:left="708" w:hanging="708"/>
      </w:pPr>
      <w:r>
        <w:t>7.4</w:t>
      </w:r>
      <w:r w:rsidR="00F62F59">
        <w:tab/>
      </w:r>
      <w:r w:rsidRPr="002F08F2" w:rsidR="00205285">
        <w:t xml:space="preserve">Die Höhe des </w:t>
      </w:r>
      <w:r w:rsidR="00666C9B">
        <w:t>Anleger-Nettoveräußerungsgewinns</w:t>
      </w:r>
      <w:r w:rsidRPr="002F08F2" w:rsidR="00666C9B">
        <w:t xml:space="preserve"> </w:t>
      </w:r>
      <w:r w:rsidRPr="002F08F2" w:rsidR="00205285">
        <w:t xml:space="preserve">wird von der </w:t>
      </w:r>
      <w:r w:rsidR="00F10E61">
        <w:t>Zahlstelle</w:t>
      </w:r>
      <w:r w:rsidRPr="002F08F2" w:rsidR="00F10E61">
        <w:t xml:space="preserve"> </w:t>
      </w:r>
      <w:r w:rsidRPr="002F08F2" w:rsidR="00205285">
        <w:t xml:space="preserve">berechnet. </w:t>
      </w:r>
      <w:r w:rsidRPr="002F08F2" w:rsidR="00885899">
        <w:t xml:space="preserve">Die Höhe des </w:t>
      </w:r>
      <w:r w:rsidR="00666C9B">
        <w:t>Anleger-Nettoveräußerungsgewinns</w:t>
      </w:r>
      <w:r w:rsidRPr="002F08F2" w:rsidR="00885899">
        <w:t xml:space="preserve"> und dessen Berechnung wird den </w:t>
      </w:r>
      <w:r w:rsidRPr="0064624F" w:rsidR="00885899">
        <w:t>Anleihegläubigern nach</w:t>
      </w:r>
      <w:r w:rsidRPr="0064624F" w:rsidR="0073557A">
        <w:t xml:space="preserve"> erfolgter Veräußerung nach</w:t>
      </w:r>
      <w:r w:rsidRPr="0064624F" w:rsidR="00885899">
        <w:t xml:space="preserve"> Maßgabe von Ziffer 1</w:t>
      </w:r>
      <w:r w:rsidRPr="0064624F" w:rsidR="004E0FFF">
        <w:t>4</w:t>
      </w:r>
      <w:r w:rsidRPr="0064624F" w:rsidR="00885899">
        <w:t xml:space="preserve"> </w:t>
      </w:r>
      <w:r w:rsidRPr="0064624F" w:rsidR="0073557A">
        <w:t>bekanntgemacht.</w:t>
      </w:r>
    </w:p>
    <w:p w:rsidRPr="0064624F" w:rsidR="00205285" w:rsidP="00205285" w:rsidRDefault="008846E4" w14:paraId="6AB76A97" w14:textId="3E272F8F" w14:noSpellErr="1">
      <w:pPr>
        <w:ind w:left="708" w:hanging="708"/>
      </w:pPr>
      <w:r w:rsidR="008846E4">
        <w:rPr/>
        <w:t>7.5</w:t>
      </w:r>
      <w:r>
        <w:tab/>
      </w:r>
      <w:r w:rsidR="0064624F">
        <w:rPr/>
        <w:t xml:space="preserve">Tritt das Laufzeitende </w:t>
      </w:r>
      <w:r w:rsidR="00E84968">
        <w:rPr/>
        <w:t xml:space="preserve">stattdessen </w:t>
      </w:r>
      <w:r w:rsidR="0064624F">
        <w:rPr/>
        <w:t xml:space="preserve">durch Durchführung der Refinanzierung oder </w:t>
      </w:r>
      <w:r w:rsidR="0064624F">
        <w:rPr/>
        <w:t xml:space="preserve">durch Zeitablauf </w:t>
      </w:r>
      <w:r w:rsidR="0064624F">
        <w:rPr/>
        <w:t xml:space="preserve">ein, so haben die Anleihegläubiger </w:t>
      </w:r>
      <w:r w:rsidR="00295214">
        <w:rPr/>
        <w:t>A</w:t>
      </w:r>
      <w:r w:rsidR="0064624F">
        <w:rPr/>
        <w:t xml:space="preserve">nspruch auf </w:t>
      </w:r>
      <w:r w:rsidR="00295214">
        <w:rPr/>
        <w:t xml:space="preserve">Auszahlung </w:t>
      </w:r>
      <w:r w:rsidR="0064624F">
        <w:rPr/>
        <w:t>eine</w:t>
      </w:r>
      <w:r w:rsidR="00295214">
        <w:rPr/>
        <w:t>s</w:t>
      </w:r>
      <w:r w:rsidR="0064624F">
        <w:rPr/>
        <w:t xml:space="preserve"> Bonuszins</w:t>
      </w:r>
      <w:r w:rsidR="00295214">
        <w:rPr/>
        <w:t>es</w:t>
      </w:r>
      <w:r w:rsidR="0064624F">
        <w:rPr/>
        <w:t xml:space="preserve"> in Höhe von </w:t>
      </w:r>
      <w:r w:rsidRPr="457CC991" w:rsidR="0064624F">
        <w:rPr>
          <w:highlight w:val="yellow"/>
        </w:rPr>
        <w:t>[#]</w:t>
      </w:r>
      <w:r w:rsidR="0064624F">
        <w:rPr/>
        <w:t xml:space="preserve"> % des </w:t>
      </w:r>
      <w:r w:rsidR="00295214">
        <w:rPr/>
        <w:t>Verbleibenden Gesamtnennbetrags</w:t>
      </w:r>
      <w:r w:rsidR="0064624F">
        <w:rPr/>
        <w:t>.</w:t>
      </w:r>
      <w:r w:rsidR="00913C59">
        <w:rPr/>
        <w:t xml:space="preserve"> </w:t>
      </w:r>
      <w:r w:rsidR="00913C59">
        <w:rPr/>
        <w:t>Der auf eine Schuldverschreibung entfallende Anteil an</w:t>
      </w:r>
      <w:r w:rsidR="006D6028">
        <w:rPr/>
        <w:t xml:space="preserve"> </w:t>
      </w:r>
      <w:r w:rsidR="00913C59">
        <w:rPr/>
        <w:t xml:space="preserve">diesem Bonuszins </w:t>
      </w:r>
      <w:r w:rsidR="00913C59">
        <w:rPr/>
        <w:t xml:space="preserve">entspricht dem Verhältnis des Nennbetrags der Schuldverschreibung zu der Summe </w:t>
      </w:r>
      <w:r w:rsidR="00913C59">
        <w:rPr/>
        <w:t>des Verbleibenden Gesamtnennbetrags</w:t>
      </w:r>
      <w:r w:rsidR="00913C59">
        <w:rPr/>
        <w:t>.</w:t>
      </w:r>
    </w:p>
    <w:p w:rsidR="001650EC" w:rsidP="00205285" w:rsidRDefault="001650EC" w14:paraId="5055AD7F" w14:textId="233A105F">
      <w:pPr>
        <w:ind w:left="708" w:hanging="708"/>
      </w:pPr>
      <w:r w:rsidRPr="001650EC">
        <w:t>7.6</w:t>
      </w:r>
      <w:r w:rsidRPr="001650EC">
        <w:tab/>
      </w:r>
      <w:r w:rsidRPr="001650EC">
        <w:t xml:space="preserve">Sämtliche Zahlungen aus dieser Ziffer 7 werden </w:t>
      </w:r>
      <w:r w:rsidRPr="001650EC">
        <w:rPr>
          <w:highlight w:val="yellow"/>
        </w:rPr>
        <w:t>[#]</w:t>
      </w:r>
      <w:r w:rsidRPr="001650EC">
        <w:t xml:space="preserve"> Geschäftstage nach Laufzeitende (das heißt nach Eintritt der Veräußerung oder der Finanzierung oder nach Zeitablauf</w:t>
      </w:r>
      <w:r w:rsidRPr="001650EC" w:rsidDel="008846E4">
        <w:t xml:space="preserve"> </w:t>
      </w:r>
      <w:r w:rsidRPr="001650EC">
        <w:t>fällig.</w:t>
      </w:r>
    </w:p>
    <w:p w:rsidR="00DE268B" w:rsidP="00147579" w:rsidRDefault="008846E4" w14:paraId="35F835FE" w14:textId="5662353B">
      <w:pPr>
        <w:ind w:left="708" w:hanging="708"/>
      </w:pPr>
      <w:r>
        <w:t>7.7</w:t>
      </w:r>
      <w:r w:rsidR="004821F2">
        <w:tab/>
      </w:r>
      <w:r w:rsidR="004821F2">
        <w:t xml:space="preserve">Wenn und </w:t>
      </w:r>
      <w:proofErr w:type="gramStart"/>
      <w:r w:rsidR="00004FB5">
        <w:t>soweit</w:t>
      </w:r>
      <w:proofErr w:type="gramEnd"/>
      <w:r w:rsidR="004821F2">
        <w:t xml:space="preserve"> die Emittentin mit einer geschuldeten Zahlung in Verzug kommt, hat die Emittentin den jeweils ausstehenden Betrag (mit Ausnahme von Zinsen) mit einem Verzugszins in Höhe von </w:t>
      </w:r>
      <w:r w:rsidR="00F603C5">
        <w:t>fünf (5)</w:t>
      </w:r>
      <w:r w:rsidR="004821F2">
        <w:t xml:space="preserve"> Prozentpunkten über dem Basiszinssatz (§§</w:t>
      </w:r>
      <w:r w:rsidR="00F603C5">
        <w:t> </w:t>
      </w:r>
      <w:r w:rsidR="004821F2">
        <w:t>288 Abs.</w:t>
      </w:r>
      <w:r w:rsidR="00F603C5">
        <w:t> </w:t>
      </w:r>
      <w:r w:rsidR="004821F2">
        <w:t>1 S.</w:t>
      </w:r>
      <w:r w:rsidR="00F603C5">
        <w:t> </w:t>
      </w:r>
      <w:r w:rsidR="004821F2">
        <w:t>2, 247 BGB) zu verzinsen („</w:t>
      </w:r>
      <w:r w:rsidR="004821F2">
        <w:rPr>
          <w:b/>
          <w:bCs/>
        </w:rPr>
        <w:t>Verzugszins</w:t>
      </w:r>
      <w:r w:rsidR="004821F2">
        <w:t>“).</w:t>
      </w:r>
    </w:p>
    <w:p w:rsidRPr="00A122CC" w:rsidR="00BE4669" w:rsidP="00BE4669" w:rsidRDefault="008846E4" w14:paraId="41A6937A" w14:textId="1CB8E4E4">
      <w:pPr>
        <w:pStyle w:val="Heading2"/>
        <w:ind w:left="709" w:hanging="709"/>
      </w:pPr>
      <w:r>
        <w:t>8</w:t>
      </w:r>
      <w:r w:rsidRPr="00A122CC" w:rsidR="00BE4669">
        <w:t>.</w:t>
      </w:r>
      <w:r w:rsidRPr="00A122CC" w:rsidR="00BE4669">
        <w:tab/>
      </w:r>
      <w:r w:rsidRPr="00A122CC" w:rsidR="00BE4669">
        <w:t>Verzinsung, Fälligkeit, Zinsberechnungsmethode</w:t>
      </w:r>
    </w:p>
    <w:p w:rsidRPr="00BF5FE3" w:rsidR="00BE4669" w:rsidP="00BE4669" w:rsidRDefault="008846E4" w14:paraId="2E748E2E" w14:textId="57E12AA0">
      <w:pPr>
        <w:ind w:left="708" w:hanging="708"/>
      </w:pPr>
      <w:r>
        <w:t>8</w:t>
      </w:r>
      <w:r w:rsidR="00BE4669">
        <w:t>.1</w:t>
      </w:r>
      <w:r w:rsidR="00BE4669">
        <w:tab/>
      </w:r>
      <w:r w:rsidR="00BE4669">
        <w:t>Die Schuldverschreibungen werden</w:t>
      </w:r>
      <w:r w:rsidR="004F316A">
        <w:t xml:space="preserve"> zusätzlich</w:t>
      </w:r>
      <w:r w:rsidR="00BE4669">
        <w:t xml:space="preserve"> ab dem Laufzeitbeginn (einschließlich) bezogen auf ihren ausstehenden Nennbetrag </w:t>
      </w:r>
      <w:r w:rsidR="00D31EBF">
        <w:t xml:space="preserve">bis zu ihrem Laufzeitende </w:t>
      </w:r>
      <w:r w:rsidR="00BE4669">
        <w:t xml:space="preserve">mit </w:t>
      </w:r>
      <w:r w:rsidRPr="00BE4669" w:rsidR="00BE4669">
        <w:rPr>
          <w:highlight w:val="yellow"/>
        </w:rPr>
        <w:t>[#]</w:t>
      </w:r>
      <w:r w:rsidR="00BE4669">
        <w:t xml:space="preserve"> % p.a. </w:t>
      </w:r>
      <w:r w:rsidRPr="00D31EBF" w:rsidR="00D31EBF">
        <w:rPr>
          <w:highlight w:val="yellow"/>
        </w:rPr>
        <w:t>[endfällig]</w:t>
      </w:r>
      <w:r w:rsidR="00D31EBF">
        <w:t xml:space="preserve"> </w:t>
      </w:r>
      <w:r w:rsidR="00BE4669">
        <w:t>verzinst („</w:t>
      </w:r>
      <w:r w:rsidRPr="00BF5FE3" w:rsidR="00BE4669">
        <w:rPr>
          <w:b/>
          <w:bCs/>
        </w:rPr>
        <w:t>Verzinsung</w:t>
      </w:r>
      <w:r w:rsidRPr="00BF5FE3" w:rsidR="00BE4669">
        <w:t xml:space="preserve">“). Die Höhe der Zinszahlungen wird von der </w:t>
      </w:r>
      <w:r w:rsidRPr="00BF5FE3" w:rsidR="00705111">
        <w:t xml:space="preserve">Zahlstelle </w:t>
      </w:r>
      <w:r w:rsidRPr="00BF5FE3" w:rsidR="00BE4669">
        <w:t>berechnet.</w:t>
      </w:r>
    </w:p>
    <w:p w:rsidRPr="00BF5FE3" w:rsidR="00C2478D" w:rsidP="00BE4669" w:rsidRDefault="008846E4" w14:paraId="5B3D8512" w14:textId="25CCAEEA">
      <w:pPr>
        <w:ind w:left="708" w:hanging="708"/>
      </w:pPr>
      <w:r w:rsidR="008846E4">
        <w:rPr/>
        <w:t>8</w:t>
      </w:r>
      <w:r w:rsidR="00BE4669">
        <w:rPr/>
        <w:t>.2</w:t>
      </w:r>
      <w:r>
        <w:tab/>
      </w:r>
      <w:r w:rsidR="0031776C">
        <w:rPr/>
        <w:t>Die Verzinsung erfolgt [</w:t>
      </w:r>
      <w:r w:rsidRPr="457CC991" w:rsidR="0031776C">
        <w:rPr>
          <w:highlight w:val="yellow"/>
        </w:rPr>
        <w:t>monatlich/quartalsweise/jährlich</w:t>
      </w:r>
      <w:r w:rsidR="0031776C">
        <w:rPr/>
        <w:t>], jeweils für den Zeitraum ab dem Tag der Vertragsunterzeichnung bis zum entsprechenden [</w:t>
      </w:r>
      <w:r w:rsidRPr="457CC991" w:rsidR="0031776C">
        <w:rPr>
          <w:highlight w:val="yellow"/>
        </w:rPr>
        <w:t>Monats</w:t>
      </w:r>
      <w:r w:rsidRPr="457CC991" w:rsidR="00830B4E">
        <w:rPr>
          <w:highlight w:val="yellow"/>
        </w:rPr>
        <w:t>tag</w:t>
      </w:r>
      <w:r w:rsidRPr="457CC991" w:rsidR="0031776C">
        <w:rPr>
          <w:highlight w:val="yellow"/>
        </w:rPr>
        <w:t>/Quartals</w:t>
      </w:r>
      <w:r w:rsidRPr="457CC991" w:rsidR="00830B4E">
        <w:rPr>
          <w:highlight w:val="yellow"/>
        </w:rPr>
        <w:t>tag</w:t>
      </w:r>
      <w:r w:rsidRPr="457CC991" w:rsidR="0031776C">
        <w:rPr>
          <w:highlight w:val="yellow"/>
        </w:rPr>
        <w:t>/Jahrestag</w:t>
      </w:r>
      <w:r w:rsidR="0031776C">
        <w:rPr/>
        <w:t>].</w:t>
      </w:r>
      <w:r w:rsidR="00E96640">
        <w:rPr/>
        <w:t xml:space="preserve"> </w:t>
      </w:r>
      <w:r w:rsidR="0031776C">
        <w:rPr/>
        <w:t>Die Auszahlung der aufgelaufenen Zinsen erfolgt jeweils zum [</w:t>
      </w:r>
      <w:r w:rsidRPr="457CC991" w:rsidR="00037A48">
        <w:rPr>
          <w:highlight w:val="yellow"/>
        </w:rPr>
        <w:t>tt.mm</w:t>
      </w:r>
      <w:r w:rsidR="0031776C">
        <w:rPr/>
        <w:t>] des folgenden [</w:t>
      </w:r>
      <w:r w:rsidRPr="457CC991" w:rsidR="0031776C">
        <w:rPr>
          <w:highlight w:val="yellow"/>
        </w:rPr>
        <w:t>Monats/Quartals/Jahres</w:t>
      </w:r>
      <w:r w:rsidR="0031776C">
        <w:rPr/>
        <w:t>], erstmals am [</w:t>
      </w:r>
      <w:r w:rsidRPr="457CC991" w:rsidR="00037A48">
        <w:rPr>
          <w:highlight w:val="yellow"/>
        </w:rPr>
        <w:t>tt.mm.jjjj</w:t>
      </w:r>
      <w:r w:rsidR="0031776C">
        <w:rPr/>
        <w:t>].</w:t>
      </w:r>
      <w:r w:rsidR="009E7535">
        <w:rPr/>
        <w:t xml:space="preserve"> </w:t>
      </w:r>
      <w:r w:rsidR="0031776C">
        <w:rPr/>
        <w:t>Das Kapital ist am Ende der Laufzeit, d. h. am [</w:t>
      </w:r>
      <w:r w:rsidRPr="457CC991" w:rsidR="00037A48">
        <w:rPr>
          <w:highlight w:val="yellow"/>
        </w:rPr>
        <w:t>tt.mm.jjjj</w:t>
      </w:r>
      <w:r w:rsidR="0031776C">
        <w:rPr/>
        <w:t>], zur Rückzahlung fällig.</w:t>
      </w:r>
    </w:p>
    <w:p w:rsidRPr="00BF5FE3" w:rsidR="00BE4669" w:rsidP="00BE4669" w:rsidRDefault="008846E4" w14:paraId="579C39BD" w14:textId="44AA2A47">
      <w:pPr>
        <w:ind w:left="708" w:hanging="708"/>
      </w:pPr>
      <w:r w:rsidRPr="00BF5FE3">
        <w:t>8</w:t>
      </w:r>
      <w:r w:rsidRPr="00BF5FE3" w:rsidR="00BE4669">
        <w:t>.3</w:t>
      </w:r>
      <w:r w:rsidRPr="00BF5FE3" w:rsidR="00BE4669">
        <w:tab/>
      </w:r>
      <w:r w:rsidRPr="00BF5FE3" w:rsidR="00BE4669">
        <w:t xml:space="preserve">Sind Zinsen im Hinblick auf einen Zeitraum zu berechnen, der kürzer oder länger als ein Kalenderjahr ist, so werden sie nach der der Methode </w:t>
      </w:r>
      <w:proofErr w:type="spellStart"/>
      <w:r w:rsidRPr="00BF5FE3" w:rsidR="00BE4669">
        <w:t>act</w:t>
      </w:r>
      <w:proofErr w:type="spellEnd"/>
      <w:r w:rsidRPr="00BF5FE3" w:rsidR="00BE4669">
        <w:t>/36</w:t>
      </w:r>
      <w:r w:rsidRPr="00BF5FE3" w:rsidR="00B74DDF">
        <w:t>5</w:t>
      </w:r>
      <w:r w:rsidRPr="00BF5FE3" w:rsidR="00BE4669">
        <w:t xml:space="preserve"> berechnet.</w:t>
      </w:r>
    </w:p>
    <w:p w:rsidR="004821F2" w:rsidP="001F19E2" w:rsidRDefault="008846E4" w14:paraId="254FA960" w14:textId="25744691">
      <w:pPr>
        <w:pStyle w:val="Heading2"/>
      </w:pPr>
      <w:r>
        <w:t>9</w:t>
      </w:r>
      <w:r w:rsidR="004821F2">
        <w:t>.</w:t>
      </w:r>
      <w:r w:rsidR="004821F2">
        <w:tab/>
      </w:r>
      <w:r w:rsidR="004821F2">
        <w:t>Zahlstelle, Zahlungen, Hinterlegung</w:t>
      </w:r>
    </w:p>
    <w:p w:rsidR="004821F2" w:rsidP="001F19E2" w:rsidRDefault="008846E4" w14:paraId="7C218C95" w14:textId="7EFF9626">
      <w:pPr>
        <w:ind w:left="708" w:hanging="708"/>
      </w:pPr>
      <w:r>
        <w:t>9</w:t>
      </w:r>
      <w:r w:rsidR="004821F2">
        <w:t>.1</w:t>
      </w:r>
      <w:r w:rsidR="004821F2">
        <w:tab/>
      </w:r>
      <w:r w:rsidR="004821F2">
        <w:t xml:space="preserve">Zahlstelle ist die </w:t>
      </w:r>
      <w:r w:rsidR="00705111">
        <w:t>Kazpar GmbH</w:t>
      </w:r>
      <w:r w:rsidR="004821F2">
        <w:t xml:space="preserve"> („</w:t>
      </w:r>
      <w:r w:rsidR="004821F2">
        <w:rPr>
          <w:b/>
          <w:bCs/>
        </w:rPr>
        <w:t>Zahlstelle</w:t>
      </w:r>
      <w:r w:rsidR="004821F2">
        <w:t xml:space="preserve">“). Die Emittentin wird dafür Sorge tragen, dass stets eine </w:t>
      </w:r>
      <w:r w:rsidRPr="002F08F2" w:rsidR="004821F2">
        <w:t>Zahlstelle vorhanden ist. Die Emittentin kann jederzeit durch Bekanntmachung gemäß Ziffer 1</w:t>
      </w:r>
      <w:r w:rsidR="004E0FFF">
        <w:t>4</w:t>
      </w:r>
      <w:r w:rsidRPr="002F08F2" w:rsidR="004821F2">
        <w:t xml:space="preserve"> mit einer Frist von mindestens 30 Tagen eine </w:t>
      </w:r>
      <w:r w:rsidR="00705111">
        <w:t>andere</w:t>
      </w:r>
      <w:r w:rsidRPr="002F08F2" w:rsidR="00705111">
        <w:t xml:space="preserve"> </w:t>
      </w:r>
      <w:r w:rsidRPr="002F08F2" w:rsidR="004821F2">
        <w:t>Zahlstelle als Zahlstelle bestellen</w:t>
      </w:r>
      <w:r w:rsidR="00705111">
        <w:t>, wenn die Kazpar GmbH nicht mehr als Zahlstelle zur Verfügung stehen sollte</w:t>
      </w:r>
      <w:r w:rsidRPr="002F08F2" w:rsidR="004821F2">
        <w:t>.</w:t>
      </w:r>
      <w:r w:rsidR="004821F2">
        <w:t xml:space="preserve"> Soweit die Emittentin eine externe Zahlstelle bestellt, handelt die Zahlstelle in ihrer Eigenschaft als solche ausschließlich als Beauftragte der Emittentin und steht nicht in einem Auftrags- oder Treuhandverhältnis zu den Anleihegläubigern. Die Zahlstelle übernimmt keinerlei Verpflichtungen gegenüber den Anleihegläubigern. </w:t>
      </w:r>
    </w:p>
    <w:p w:rsidR="004821F2" w:rsidP="00437C3F" w:rsidRDefault="008846E4" w14:paraId="2E1B1FA0" w14:textId="118F6A9B">
      <w:pPr>
        <w:ind w:left="708" w:hanging="708"/>
      </w:pPr>
      <w:r>
        <w:t>9</w:t>
      </w:r>
      <w:r w:rsidR="004821F2">
        <w:t>.2</w:t>
      </w:r>
      <w:r w:rsidR="004821F2">
        <w:tab/>
      </w:r>
      <w:r w:rsidR="004821F2">
        <w:t>Die Emittentin verpflichtet sich, Zahlungen auf die Schuldverschreibungen bei Fälligkeit in Euro zu zahlen</w:t>
      </w:r>
      <w:r w:rsidR="002966D2">
        <w:t xml:space="preserve"> bzw. zahlen zu lassen</w:t>
      </w:r>
      <w:r w:rsidR="004821F2">
        <w:t xml:space="preserve">. </w:t>
      </w:r>
      <w:r w:rsidR="00437C3F">
        <w:t>Zahlungen erfolgen a</w:t>
      </w:r>
      <w:r w:rsidR="00623E4F">
        <w:t xml:space="preserve">usschließlich an </w:t>
      </w:r>
      <w:r w:rsidR="003F35FE">
        <w:t>die für den Anleihegläubiger auf der Kazpar-Plattform angelegte virtuelle IBAN</w:t>
      </w:r>
      <w:r w:rsidR="00623E4F">
        <w:t>.</w:t>
      </w:r>
      <w:r w:rsidR="004821F2">
        <w:t xml:space="preserve"> Die vorgenannten Zahlungen befreien die Emittentin in Höhe der geleisteten Zahlungen von ihren entsprechenden Verbindlichkeiten aus den Schuldverschreibungen.</w:t>
      </w:r>
    </w:p>
    <w:p w:rsidR="004821F2" w:rsidP="00705111" w:rsidRDefault="008846E4" w14:paraId="6198FB64" w14:textId="69DFC3B3">
      <w:pPr>
        <w:ind w:left="708" w:hanging="708"/>
      </w:pPr>
      <w:r>
        <w:t>9</w:t>
      </w:r>
      <w:r w:rsidR="004821F2">
        <w:t>.3</w:t>
      </w:r>
      <w:r w:rsidR="004821F2">
        <w:tab/>
      </w:r>
      <w:r w:rsidR="004821F2">
        <w:t xml:space="preserve">Falls eine Zahlung auf die Schuldverschreibungen an einem Tag zu leisten ist, der kein Geschäftstag ist, so erfolgt die Zahlung am nächstfolgenden Geschäftstag. In diesem Fall steht den betreffenden Anleihegläubigern weder eine Zahlung noch ein Anspruch auf Verzugszinsen oder eine andere Entschädigung wegen dieser Verzögerung zu. </w:t>
      </w:r>
    </w:p>
    <w:p w:rsidR="004821F2" w:rsidP="00705111" w:rsidRDefault="008846E4" w14:paraId="6D0CB80A" w14:textId="64C71B4D">
      <w:pPr>
        <w:ind w:left="708" w:hanging="708"/>
      </w:pPr>
      <w:r>
        <w:t>9</w:t>
      </w:r>
      <w:r w:rsidR="004821F2">
        <w:t>.4</w:t>
      </w:r>
      <w:r w:rsidR="004821F2">
        <w:tab/>
      </w:r>
      <w:r w:rsidR="00437C3F">
        <w:t>„</w:t>
      </w:r>
      <w:r w:rsidRPr="00437C3F" w:rsidR="00437C3F">
        <w:rPr>
          <w:b/>
          <w:bCs/>
        </w:rPr>
        <w:t>Geschäftstag</w:t>
      </w:r>
      <w:r w:rsidR="00437C3F">
        <w:t xml:space="preserve">“ im Sinne dieser Anleihebedingungen bezeichnet </w:t>
      </w:r>
      <w:r w:rsidR="00EE423B">
        <w:t>jeden Tag (außer Samstag und Sonntag), an dem die Geschäftsbanken in Frankfurt a.M. Zahlungen in Euro abwickeln.</w:t>
      </w:r>
    </w:p>
    <w:p w:rsidR="004821F2" w:rsidP="001F19E2" w:rsidRDefault="008846E4" w14:paraId="1BFD5BCF" w14:textId="40995C01">
      <w:pPr>
        <w:pStyle w:val="Heading2"/>
      </w:pPr>
      <w:r>
        <w:t>10</w:t>
      </w:r>
      <w:r w:rsidR="004821F2">
        <w:t>.</w:t>
      </w:r>
      <w:r w:rsidR="004821F2">
        <w:tab/>
      </w:r>
      <w:r w:rsidR="004821F2">
        <w:t>Steuern</w:t>
      </w:r>
    </w:p>
    <w:p w:rsidR="004821F2" w:rsidP="001F19E2" w:rsidRDefault="008846E4" w14:paraId="61B7D78F" w14:textId="6BBA9348">
      <w:pPr>
        <w:ind w:left="708" w:hanging="708"/>
      </w:pPr>
      <w:r>
        <w:t>10</w:t>
      </w:r>
      <w:r w:rsidR="004821F2">
        <w:t>.1</w:t>
      </w:r>
      <w:r w:rsidR="004821F2">
        <w:tab/>
      </w:r>
      <w:r w:rsidR="004821F2">
        <w:t xml:space="preserve">Alle Zahlungen auf die Schuldverschreibungen erfolgen unter Abzug und Einbehaltung von Steuern, Abgaben und sonstigen Gebühren, soweit die Emittentin zum Abzug und/oder zur </w:t>
      </w:r>
      <w:r w:rsidR="004821F2">
        <w:t xml:space="preserve">Einbehaltung gesetzlich verpflichtet ist. Die Emittentin ist nicht verpflichtet, den </w:t>
      </w:r>
      <w:r w:rsidR="00437C3F">
        <w:t>Anleihegläubigern</w:t>
      </w:r>
      <w:r w:rsidR="004821F2">
        <w:t xml:space="preserve"> zusätzliche Beträge als Ausgleich für auf diese Weise abgezogene oder einbehaltene Beträge zu zahlen.</w:t>
      </w:r>
    </w:p>
    <w:p w:rsidR="004821F2" w:rsidP="001F19E2" w:rsidRDefault="008846E4" w14:paraId="64D56E1A" w14:textId="04297C5C">
      <w:pPr>
        <w:ind w:left="708" w:hanging="708"/>
      </w:pPr>
      <w:r>
        <w:t>10</w:t>
      </w:r>
      <w:r w:rsidR="004821F2">
        <w:t>.2</w:t>
      </w:r>
      <w:r w:rsidR="004821F2">
        <w:tab/>
      </w:r>
      <w:r w:rsidR="004821F2">
        <w:t>Soweit die Emittentin nicht gesetzlich zum Abzug und/oder zur Einbehaltung von Steuern, Abgaben oder sonstigen Gebühren verpflichtet ist, trifft sie keinerlei Verpflichtung im Hinblick auf abgaberechtliche Verpflichtungen der Anleihegläubiger.</w:t>
      </w:r>
    </w:p>
    <w:p w:rsidR="00ED484E" w:rsidP="00ED484E" w:rsidRDefault="00A122CC" w14:paraId="45CFA8EC" w14:textId="206B07A2">
      <w:pPr>
        <w:pStyle w:val="Heading2"/>
      </w:pPr>
      <w:r>
        <w:t>1</w:t>
      </w:r>
      <w:r w:rsidR="008846E4">
        <w:t>1</w:t>
      </w:r>
      <w:r w:rsidR="00ED484E">
        <w:t xml:space="preserve">. </w:t>
      </w:r>
      <w:r w:rsidR="00CF1C6A">
        <w:t xml:space="preserve">Besicherung; Weitere </w:t>
      </w:r>
      <w:r w:rsidR="00ED484E">
        <w:t>Nebenpflichten der Emittentin</w:t>
      </w:r>
      <w:r w:rsidR="00650448">
        <w:t>;</w:t>
      </w:r>
      <w:r w:rsidR="00587B79">
        <w:t xml:space="preserve"> Reporting</w:t>
      </w:r>
    </w:p>
    <w:p w:rsidR="00F70DEA" w:rsidP="00CF1C6A" w:rsidRDefault="00F70DEA" w14:paraId="7F703618" w14:textId="6456EEC0">
      <w:pPr>
        <w:ind w:left="708" w:hanging="708"/>
      </w:pPr>
      <w:r>
        <w:t>1</w:t>
      </w:r>
      <w:r w:rsidR="008846E4">
        <w:t>1</w:t>
      </w:r>
      <w:r>
        <w:t>.1</w:t>
      </w:r>
      <w:r>
        <w:tab/>
      </w:r>
      <w:r>
        <w:t xml:space="preserve">Die Besicherung der Schuldverschreibungen erfolgt durch Bestellung von Grundsicherungsrechten nach Maßgabe einer zwischen der Emittentin und der Kazpar GmbH </w:t>
      </w:r>
      <w:proofErr w:type="gramStart"/>
      <w:r w:rsidR="00810176">
        <w:t>zu schließende</w:t>
      </w:r>
      <w:r w:rsidR="007E0061">
        <w:t>n</w:t>
      </w:r>
      <w:r w:rsidR="00810176">
        <w:t xml:space="preserve"> Vereinbarung</w:t>
      </w:r>
      <w:proofErr w:type="gramEnd"/>
      <w:r>
        <w:t xml:space="preserve">. </w:t>
      </w:r>
      <w:r w:rsidRPr="00F70DEA">
        <w:t xml:space="preserve">Die Emittentin wird sich </w:t>
      </w:r>
      <w:r>
        <w:t xml:space="preserve">zu diesem Zweck </w:t>
      </w:r>
      <w:r w:rsidRPr="00F70DEA">
        <w:t xml:space="preserve">gegenüber der Kazpar GmbH in </w:t>
      </w:r>
      <w:r>
        <w:t>einer separaten</w:t>
      </w:r>
      <w:r w:rsidRPr="00F70DEA">
        <w:t xml:space="preserve"> </w:t>
      </w:r>
      <w:r>
        <w:t>Treuhandvereinbarung</w:t>
      </w:r>
      <w:r w:rsidRPr="00F70DEA">
        <w:t xml:space="preserve"> dazu verpflichten</w:t>
      </w:r>
      <w:r>
        <w:t xml:space="preserve">, </w:t>
      </w:r>
      <w:r w:rsidRPr="00F70DEA">
        <w:t>ein Grundsicherungsrecht für das Asset zu gewähren</w:t>
      </w:r>
      <w:r>
        <w:t xml:space="preserve">, das die </w:t>
      </w:r>
      <w:r w:rsidR="00C36F43">
        <w:t xml:space="preserve">Durchsetzung der </w:t>
      </w:r>
      <w:r>
        <w:t>Ansprüche der Anleihegläubiger absichert („</w:t>
      </w:r>
      <w:r w:rsidRPr="00F70DEA">
        <w:rPr>
          <w:b/>
          <w:bCs/>
        </w:rPr>
        <w:t>Sicherheit</w:t>
      </w:r>
      <w:r>
        <w:t>“).</w:t>
      </w:r>
    </w:p>
    <w:p w:rsidR="00CF1C6A" w:rsidP="00CF1C6A" w:rsidRDefault="00F70DEA" w14:paraId="24E2C0CB" w14:textId="4037C38C">
      <w:pPr>
        <w:ind w:left="708" w:hanging="708"/>
      </w:pPr>
      <w:r>
        <w:tab/>
      </w:r>
      <w:r>
        <w:t>Die</w:t>
      </w:r>
      <w:r w:rsidR="00CF1C6A">
        <w:t xml:space="preserve"> Anleihegläubiger stimm</w:t>
      </w:r>
      <w:r>
        <w:t>en</w:t>
      </w:r>
      <w:r w:rsidR="00CF1C6A">
        <w:t xml:space="preserve"> </w:t>
      </w:r>
      <w:r>
        <w:t>mit Zeichnung der Schuldverschreibungen zu, dass die Kazpar GmbH die Sicherheit zugunsten der Anleihegläubiger treuhänderisch verwaltet</w:t>
      </w:r>
      <w:r w:rsidR="00C36F43">
        <w:t xml:space="preserve"> und zu diesem Zweck die Treuhandvereinbarung mit der Emittentin schließt</w:t>
      </w:r>
      <w:r>
        <w:t xml:space="preserve">. </w:t>
      </w:r>
    </w:p>
    <w:tbl>
      <w:tblPr>
        <w:tblStyle w:val="TableGrid"/>
        <w:tblW w:w="8497" w:type="dxa"/>
        <w:tblInd w:w="583" w:type="dxa"/>
        <w:tblCellMar>
          <w:top w:w="113" w:type="dxa"/>
          <w:left w:w="142" w:type="dxa"/>
          <w:bottom w:w="113" w:type="dxa"/>
          <w:right w:w="142" w:type="dxa"/>
        </w:tblCellMar>
        <w:tblLook w:val="04A0" w:firstRow="1" w:lastRow="0" w:firstColumn="1" w:lastColumn="0" w:noHBand="0" w:noVBand="1"/>
      </w:tblPr>
      <w:tblGrid>
        <w:gridCol w:w="8497"/>
      </w:tblGrid>
      <w:tr w:rsidR="003B3FAE" w:rsidTr="009F1CDA" w14:paraId="08BBFDD4" w14:textId="77777777">
        <w:tc>
          <w:tcPr>
            <w:tcW w:w="8497" w:type="dxa"/>
          </w:tcPr>
          <w:p w:rsidR="003B3FAE" w:rsidP="00CF1C6A" w:rsidRDefault="003B3FAE" w14:paraId="377B1AB2" w14:textId="7896523A">
            <w:r>
              <w:t xml:space="preserve">Die Emittentin hat sicherzustellen, dass die Sicherheit nach Maßgabe der Treuhandvereinbarung nur unter Einhaltung des qualifizierten Rangrücktritts und der </w:t>
            </w:r>
            <w:proofErr w:type="spellStart"/>
            <w:r>
              <w:t>vorinsolvenzlichen</w:t>
            </w:r>
            <w:proofErr w:type="spellEnd"/>
            <w:r>
              <w:t xml:space="preserve"> Durchsetzungssperre der Forderungen der Anleihegläubiger gemäß Ziffer 4 verwertet werden darf.</w:t>
            </w:r>
          </w:p>
        </w:tc>
      </w:tr>
    </w:tbl>
    <w:p w:rsidR="00CF1C6A" w:rsidP="009F1CDA" w:rsidRDefault="00CF1C6A" w14:paraId="7BEC1EE9" w14:textId="5C0DF56F">
      <w:pPr>
        <w:spacing w:before="160"/>
        <w:ind w:left="709"/>
      </w:pPr>
      <w:r>
        <w:t xml:space="preserve">Die </w:t>
      </w:r>
      <w:r w:rsidR="00C36F43">
        <w:t xml:space="preserve">weiteren </w:t>
      </w:r>
      <w:r>
        <w:t>Einzelheiten der Aufgaben des Treuhänders und die</w:t>
      </w:r>
      <w:r w:rsidR="00C36F43">
        <w:t xml:space="preserve"> </w:t>
      </w:r>
      <w:r>
        <w:t>Einzelheiten der Rechtsbeziehungen zwischen der Emittentin und dem Treuhänder</w:t>
      </w:r>
      <w:r w:rsidR="00C36F43">
        <w:t xml:space="preserve"> </w:t>
      </w:r>
      <w:r>
        <w:t xml:space="preserve">richten sich </w:t>
      </w:r>
      <w:proofErr w:type="gramStart"/>
      <w:r>
        <w:t>alleine</w:t>
      </w:r>
      <w:proofErr w:type="gramEnd"/>
      <w:r>
        <w:t xml:space="preserve"> nach dem zwischen der Emittentin und dem Treuhänder</w:t>
      </w:r>
      <w:r w:rsidR="00C36F43">
        <w:t xml:space="preserve"> abzuschließenden</w:t>
      </w:r>
      <w:r>
        <w:t xml:space="preserve"> Treuhandvertrag. Die Emittentin und der Treuhänder sind</w:t>
      </w:r>
      <w:r w:rsidR="00C36F43">
        <w:t xml:space="preserve"> </w:t>
      </w:r>
      <w:r>
        <w:t>berechtigt, den Treuhandvertrag einvernehmlich zu ändern, sofern keine wesentlichen Rechte der Anleihegläubiger nach diesen Anleihebedingungen</w:t>
      </w:r>
      <w:r w:rsidR="00C36F43">
        <w:t xml:space="preserve"> beeinträchtigt werden</w:t>
      </w:r>
      <w:r>
        <w:t xml:space="preserve">. </w:t>
      </w:r>
    </w:p>
    <w:p w:rsidR="00C36F43" w:rsidP="00C36F43" w:rsidRDefault="00C36F43" w14:paraId="1CBC0AFD" w14:textId="057932DC">
      <w:pPr>
        <w:ind w:left="708"/>
      </w:pPr>
      <w:r w:rsidRPr="00C36F43">
        <w:t xml:space="preserve">Sollte das Treuhandverhältnis mit dem Treuhänder vorzeitig beendet werden, ist die Emittentin verpflichtet, unverzüglich einen neuen Treuhänder </w:t>
      </w:r>
      <w:r>
        <w:t xml:space="preserve">für die Sicherheit </w:t>
      </w:r>
      <w:r w:rsidRPr="00C36F43">
        <w:t>zu bestellen</w:t>
      </w:r>
      <w:r>
        <w:t>.</w:t>
      </w:r>
    </w:p>
    <w:p w:rsidRPr="00510D92" w:rsidR="00510D92" w:rsidP="00650448" w:rsidRDefault="00A122CC" w14:paraId="770B4DBE" w14:textId="4F08F0FF">
      <w:pPr>
        <w:ind w:left="708" w:hanging="708"/>
      </w:pPr>
      <w:r w:rsidRPr="00650448">
        <w:t>1</w:t>
      </w:r>
      <w:r w:rsidR="008846E4">
        <w:t>1</w:t>
      </w:r>
      <w:r w:rsidRPr="00650448" w:rsidR="00205077">
        <w:t>.</w:t>
      </w:r>
      <w:r w:rsidR="00CF1C6A">
        <w:t>2</w:t>
      </w:r>
      <w:r w:rsidRPr="00650448" w:rsidR="00E66C69">
        <w:tab/>
      </w:r>
      <w:r w:rsidRPr="00650448" w:rsidR="00510D92">
        <w:t>Die Emittentin</w:t>
      </w:r>
      <w:r w:rsidRPr="00510D92" w:rsidR="00510D92">
        <w:t xml:space="preserve"> </w:t>
      </w:r>
      <w:r w:rsidR="00650448">
        <w:t>wird</w:t>
      </w:r>
      <w:r w:rsidRPr="00510D92" w:rsidR="00510D92">
        <w:t xml:space="preserve"> sich gegenüber der Kazpar GmbH</w:t>
      </w:r>
      <w:r w:rsidR="00650448">
        <w:t xml:space="preserve"> in separaten Vereinbarungen </w:t>
      </w:r>
      <w:r w:rsidR="00CF1C6A">
        <w:t xml:space="preserve">zudem </w:t>
      </w:r>
      <w:r w:rsidR="00650448">
        <w:t>dazu verpflichten</w:t>
      </w:r>
    </w:p>
    <w:p w:rsidR="00BF6E4A" w:rsidP="00510D92" w:rsidRDefault="00650448" w14:paraId="5B9E2F70" w14:textId="4D9BA521">
      <w:pPr>
        <w:ind w:left="1560" w:hanging="851"/>
      </w:pPr>
      <w:r w:rsidRPr="00650448">
        <w:t>1</w:t>
      </w:r>
      <w:r w:rsidR="008846E4">
        <w:t>1</w:t>
      </w:r>
      <w:r w:rsidRPr="00650448">
        <w:t>.</w:t>
      </w:r>
      <w:r w:rsidR="00CF1C6A">
        <w:t>2</w:t>
      </w:r>
      <w:r w:rsidRPr="00650448">
        <w:t>.</w:t>
      </w:r>
      <w:r w:rsidR="00CF1C6A">
        <w:t>1</w:t>
      </w:r>
      <w:r w:rsidRPr="00650448">
        <w:tab/>
      </w:r>
      <w:r w:rsidRPr="00650448">
        <w:t>sich der sofortigen Zwangsvollstreckung z</w:t>
      </w:r>
      <w:r>
        <w:t>u unterwerfen</w:t>
      </w:r>
      <w:r w:rsidR="007E0061">
        <w:t>;</w:t>
      </w:r>
    </w:p>
    <w:p w:rsidR="00650448" w:rsidP="00510D92" w:rsidRDefault="00BF6E4A" w14:paraId="2EF6BA0A" w14:textId="6FDEAE84">
      <w:pPr>
        <w:ind w:left="1560" w:hanging="851"/>
      </w:pPr>
      <w:r>
        <w:t>1</w:t>
      </w:r>
      <w:r w:rsidR="008846E4">
        <w:t>1</w:t>
      </w:r>
      <w:r>
        <w:t>.</w:t>
      </w:r>
      <w:r w:rsidR="00CF1C6A">
        <w:t>2</w:t>
      </w:r>
      <w:r>
        <w:t>.2</w:t>
      </w:r>
      <w:r>
        <w:tab/>
      </w:r>
      <w:r>
        <w:t>in Bezug auf das Asset eine branchenübliche Versicherung abzuschließen</w:t>
      </w:r>
      <w:r w:rsidR="00650448">
        <w:t>; und</w:t>
      </w:r>
    </w:p>
    <w:p w:rsidRPr="00356C6C" w:rsidR="00650448" w:rsidP="00510D92" w:rsidRDefault="00650448" w14:paraId="3E9500F0" w14:textId="2E11B024">
      <w:pPr>
        <w:ind w:left="1560" w:hanging="851"/>
      </w:pPr>
      <w:r>
        <w:t>1</w:t>
      </w:r>
      <w:r w:rsidR="008846E4">
        <w:t>1</w:t>
      </w:r>
      <w:r>
        <w:t>.</w:t>
      </w:r>
      <w:r w:rsidR="00CF1C6A">
        <w:t>2</w:t>
      </w:r>
      <w:r>
        <w:t>.</w:t>
      </w:r>
      <w:r w:rsidR="00CF1C6A">
        <w:t>3</w:t>
      </w:r>
      <w:r>
        <w:tab/>
      </w:r>
      <w:r>
        <w:t xml:space="preserve">eine Vollmacht zu gewähren, die </w:t>
      </w:r>
      <w:r w:rsidRPr="00216718">
        <w:t>es der Kazpar GmbH unter bestimmten Bedingungen (insb. Verletzung gegen Zahlungspflichten)</w:t>
      </w:r>
      <w:r w:rsidRPr="00356C6C">
        <w:t xml:space="preserve"> erlaubt, das Asset </w:t>
      </w:r>
      <w:r w:rsidR="004E0819">
        <w:t xml:space="preserve">zugunsten der Anleihegläubiger </w:t>
      </w:r>
      <w:r w:rsidRPr="00356C6C">
        <w:t>zu veräußern.</w:t>
      </w:r>
    </w:p>
    <w:p w:rsidRPr="00650448" w:rsidR="00510D92" w:rsidP="00587B79" w:rsidRDefault="00650448" w14:paraId="5BC9BFB2" w14:textId="34E2EB19">
      <w:pPr>
        <w:ind w:left="708" w:hanging="708"/>
        <w:rPr>
          <w:highlight w:val="cyan"/>
        </w:rPr>
      </w:pPr>
      <w:r w:rsidRPr="00356C6C">
        <w:t>1</w:t>
      </w:r>
      <w:r w:rsidR="008846E4">
        <w:t>1</w:t>
      </w:r>
      <w:r w:rsidRPr="00356C6C">
        <w:t>.</w:t>
      </w:r>
      <w:r w:rsidR="00CF1C6A">
        <w:t>3</w:t>
      </w:r>
      <w:r w:rsidRPr="00356C6C">
        <w:tab/>
      </w:r>
      <w:r w:rsidRPr="00650448">
        <w:t>Darüber hinaus werden die Emittentin sowie weitere Organe und Personen ggf. weitere Verpflichtungen eingehen, die auf der Kazpar-Plattform veröffentlicht werden.</w:t>
      </w:r>
    </w:p>
    <w:p w:rsidRPr="002F08F2" w:rsidR="00CE08AA" w:rsidP="00147C94" w:rsidRDefault="00A122CC" w14:paraId="0A393920" w14:textId="333DAD0A">
      <w:pPr>
        <w:ind w:left="709" w:hanging="709"/>
      </w:pPr>
      <w:r w:rsidRPr="00650448">
        <w:t>1</w:t>
      </w:r>
      <w:r w:rsidR="008846E4">
        <w:t>1</w:t>
      </w:r>
      <w:r w:rsidRPr="00650448" w:rsidR="78C2F6E5">
        <w:t>.</w:t>
      </w:r>
      <w:r w:rsidRPr="00650448" w:rsidR="00650448">
        <w:t>3</w:t>
      </w:r>
      <w:r w:rsidRPr="00650448" w:rsidR="00E66C69">
        <w:tab/>
      </w:r>
      <w:r w:rsidRPr="00650448" w:rsidR="00F82C63">
        <w:t>Die Emittentin stellt nach jedem abgelaufenen Geschäftsjahr ihren Jahresabschluss</w:t>
      </w:r>
      <w:r w:rsidRPr="00F82C63" w:rsidR="00F82C63">
        <w:t xml:space="preserve"> auf. Der jeweilige Jahresabschluss soll bis zum </w:t>
      </w:r>
      <w:r w:rsidRPr="00F82C63" w:rsidR="7A32C29E">
        <w:rPr>
          <w:highlight w:val="yellow"/>
        </w:rPr>
        <w:t>[</w:t>
      </w:r>
      <w:r w:rsidRPr="00F82C63" w:rsidR="00F82C63">
        <w:rPr>
          <w:highlight w:val="yellow"/>
        </w:rPr>
        <w:t>#</w:t>
      </w:r>
      <w:r w:rsidRPr="00F82C63" w:rsidR="7A32C29E">
        <w:rPr>
          <w:highlight w:val="yellow"/>
        </w:rPr>
        <w:t>]</w:t>
      </w:r>
      <w:r w:rsidRPr="00F82C63" w:rsidR="7A32C29E">
        <w:t xml:space="preserve"> </w:t>
      </w:r>
      <w:r w:rsidRPr="00F82C63" w:rsidR="00F82C63">
        <w:t xml:space="preserve">des jeweiligen Folgejahres </w:t>
      </w:r>
      <w:r w:rsidRPr="00F82C63" w:rsidR="502F8CA0">
        <w:t>nach Maßgabe von Ziffer 1</w:t>
      </w:r>
      <w:r w:rsidR="004E0FFF">
        <w:t>4</w:t>
      </w:r>
      <w:r w:rsidRPr="00F82C63" w:rsidR="502F8CA0">
        <w:t xml:space="preserve"> </w:t>
      </w:r>
      <w:r w:rsidR="005E2408">
        <w:t>auf de</w:t>
      </w:r>
      <w:r w:rsidR="00903817">
        <w:t>r</w:t>
      </w:r>
      <w:r w:rsidR="005E2408">
        <w:t xml:space="preserve"> Kazpar-Plattform</w:t>
      </w:r>
      <w:r w:rsidR="00903817">
        <w:t xml:space="preserve"> </w:t>
      </w:r>
      <w:r w:rsidRPr="00F82C63" w:rsidR="00903817">
        <w:t>zugänglich gemacht werden</w:t>
      </w:r>
      <w:r w:rsidRPr="00F82C63" w:rsidR="502F8CA0">
        <w:t>.</w:t>
      </w:r>
    </w:p>
    <w:p w:rsidRPr="002F08F2" w:rsidR="004821F2" w:rsidP="001F19E2" w:rsidRDefault="00ED484E" w14:paraId="6AEDBD86" w14:textId="56FF901E">
      <w:pPr>
        <w:pStyle w:val="Heading2"/>
      </w:pPr>
      <w:r w:rsidRPr="002F08F2">
        <w:t>1</w:t>
      </w:r>
      <w:r w:rsidR="008846E4">
        <w:t>2</w:t>
      </w:r>
      <w:r w:rsidRPr="002F08F2" w:rsidR="004821F2">
        <w:t>.</w:t>
      </w:r>
      <w:r w:rsidRPr="002F08F2" w:rsidR="004821F2">
        <w:tab/>
      </w:r>
      <w:r w:rsidRPr="002F08F2" w:rsidR="004821F2">
        <w:t>Kündigung durch Anleihegläubiger</w:t>
      </w:r>
    </w:p>
    <w:p w:rsidRPr="002F08F2" w:rsidR="004821F2" w:rsidP="001F19E2" w:rsidRDefault="00ED484E" w14:paraId="3D8CB4F7" w14:textId="355D478C">
      <w:pPr>
        <w:ind w:left="708" w:hanging="708"/>
      </w:pPr>
      <w:r w:rsidRPr="002F08F2">
        <w:t>1</w:t>
      </w:r>
      <w:r w:rsidR="008846E4">
        <w:t>2</w:t>
      </w:r>
      <w:r w:rsidRPr="002F08F2" w:rsidR="004821F2">
        <w:t>.1</w:t>
      </w:r>
      <w:r w:rsidRPr="002F08F2" w:rsidR="004821F2">
        <w:tab/>
      </w:r>
      <w:r w:rsidR="002966D2">
        <w:t xml:space="preserve">Die Anleihe kann durch die Anleihegläubiger nicht ordentlich gekündigt werden. </w:t>
      </w:r>
      <w:r w:rsidRPr="002F08F2" w:rsidR="004821F2">
        <w:t xml:space="preserve">Jeder Anleihegläubiger ist berechtigt, die Schuldverschreibungen ohne Einhaltung einer Kündigungsfrist zu kündigen und </w:t>
      </w:r>
      <w:r w:rsidRPr="002F08F2" w:rsidR="000772CB">
        <w:t>vorbehaltlich Ziffer </w:t>
      </w:r>
      <w:r w:rsidRPr="002F08F2" w:rsidR="0027464B">
        <w:t>4</w:t>
      </w:r>
      <w:r w:rsidRPr="002F08F2" w:rsidR="000772CB">
        <w:t xml:space="preserve"> </w:t>
      </w:r>
      <w:r w:rsidRPr="002F08F2" w:rsidR="004821F2">
        <w:t>deren sofortige Rückzahlung zum Nennbetrag zu verlangen, wenn ein wichtiger Grund</w:t>
      </w:r>
      <w:r w:rsidRPr="002F08F2" w:rsidR="000772CB">
        <w:t xml:space="preserve"> zur Kündigung</w:t>
      </w:r>
      <w:r w:rsidRPr="002F08F2" w:rsidR="004821F2">
        <w:t xml:space="preserve"> vorliegt. Ein wichtiger Grund liegt insbesondere dann vor, wenn</w:t>
      </w:r>
    </w:p>
    <w:p w:rsidR="004821F2" w:rsidP="001F19E2" w:rsidRDefault="00ED484E" w14:paraId="5A074829" w14:textId="0E2AF825">
      <w:pPr>
        <w:ind w:left="1560" w:hanging="851"/>
      </w:pPr>
      <w:r w:rsidRPr="002F08F2">
        <w:t>1</w:t>
      </w:r>
      <w:r w:rsidR="008846E4">
        <w:t>2</w:t>
      </w:r>
      <w:r w:rsidRPr="002F08F2" w:rsidR="004821F2">
        <w:t>.1.1</w:t>
      </w:r>
      <w:r w:rsidRPr="002F08F2" w:rsidR="004821F2">
        <w:tab/>
      </w:r>
      <w:r w:rsidRPr="002F08F2" w:rsidR="004821F2">
        <w:t>die Emittentin ihre Zahlungsunfähigkeit schriftlich allgemein bekannt</w:t>
      </w:r>
      <w:r w:rsidR="004821F2">
        <w:t xml:space="preserve"> gibt oder ihre Zahlungen allgemein einstellt; oder</w:t>
      </w:r>
    </w:p>
    <w:p w:rsidR="004821F2" w:rsidP="001F19E2" w:rsidRDefault="00ED484E" w14:paraId="64684454" w14:textId="00A826CB">
      <w:pPr>
        <w:ind w:left="1560" w:hanging="851"/>
      </w:pPr>
      <w:r>
        <w:t>1</w:t>
      </w:r>
      <w:r w:rsidR="008846E4">
        <w:t>2</w:t>
      </w:r>
      <w:r w:rsidR="004821F2">
        <w:t>.1.2</w:t>
      </w:r>
      <w:r w:rsidR="004821F2">
        <w:tab/>
      </w:r>
      <w:r w:rsidR="004821F2">
        <w:t xml:space="preserve">ein Insolvenzverfahren über das Vermögen der Emittentin eröffnet und nicht innerhalb von 30 Tagen nach der Eröffnung aufgehoben oder ausgesetzt wird oder </w:t>
      </w:r>
      <w:r w:rsidR="000772CB">
        <w:t xml:space="preserve">die Eröffnung des Insolvenzverfahrens </w:t>
      </w:r>
      <w:r w:rsidR="004821F2">
        <w:t>durch die Emittentin beantragt oder die Eröffnung eines Insolvenzverfahrens mangels Masse abgelehnt wird; oder</w:t>
      </w:r>
    </w:p>
    <w:p w:rsidR="004821F2" w:rsidP="001F19E2" w:rsidRDefault="00ED484E" w14:paraId="0F1238E3" w14:textId="581B7F3C">
      <w:pPr>
        <w:ind w:left="1560" w:hanging="851"/>
      </w:pPr>
      <w:r>
        <w:t>1</w:t>
      </w:r>
      <w:r w:rsidR="008846E4">
        <w:t>2</w:t>
      </w:r>
      <w:r w:rsidR="00AB3D83">
        <w:t>.</w:t>
      </w:r>
      <w:r w:rsidR="004821F2">
        <w:t>1.3</w:t>
      </w:r>
      <w:r w:rsidR="004821F2">
        <w:tab/>
      </w:r>
      <w:r w:rsidR="004821F2">
        <w:t>die Emittentin eine wesentliche Verpflichtung, Bedingung oder Vereinbarung hinsichtlich der Schuldverschreibungen nicht erfüllt oder beachtet (die „</w:t>
      </w:r>
      <w:r w:rsidR="004821F2">
        <w:rPr>
          <w:b/>
          <w:bCs/>
        </w:rPr>
        <w:t>Pflichtverletzung</w:t>
      </w:r>
      <w:r w:rsidR="004821F2">
        <w:t xml:space="preserve">“) </w:t>
      </w:r>
      <w:r w:rsidRPr="000772CB" w:rsidR="000772CB">
        <w:t>und die Nichterfüllung oder Nichtbeachtung länger als 30 Tage fortdauert, nachdem die Emittentin von dem betroffenen Anleihegläubiger eine schriftliche Mitteilung erhalten hat, in der dieser die Emittentin zur Behebung der Pflichtverletzung sowie zur Erfüllung bzw. Beachtung der betreffenden Verpflichtung, Bedingung oder Vereinbarung ausdrücklich auffordert</w:t>
      </w:r>
      <w:r w:rsidR="004821F2">
        <w:t>;</w:t>
      </w:r>
      <w:r w:rsidR="00AA76AD">
        <w:t xml:space="preserve"> oder</w:t>
      </w:r>
    </w:p>
    <w:p w:rsidR="004821F2" w:rsidP="001F19E2" w:rsidRDefault="00ED484E" w14:paraId="491D254B" w14:textId="7E2D4565">
      <w:pPr>
        <w:ind w:left="1560" w:hanging="851"/>
      </w:pPr>
      <w:r>
        <w:t>1</w:t>
      </w:r>
      <w:r w:rsidR="008846E4">
        <w:t>2</w:t>
      </w:r>
      <w:r w:rsidR="004821F2">
        <w:t>.1.4</w:t>
      </w:r>
      <w:r w:rsidR="004821F2">
        <w:tab/>
      </w:r>
      <w:r w:rsidR="004821F2">
        <w:t>die Emittentin in Liquidation tritt, es sei denn, dies geschieht im Zusammenhang mit gesellschaftsrechtlichen Maßnahmen (z. B. einer Verschmelzung oder einer anderen Form des Zusammenschlusses</w:t>
      </w:r>
      <w:r w:rsidR="000772CB">
        <w:t>)</w:t>
      </w:r>
      <w:r w:rsidR="004821F2">
        <w:t xml:space="preserve"> mit einer anderen Gesellschaft, sofern diese andere Gesellschaft ein </w:t>
      </w:r>
      <w:r w:rsidR="000772CB">
        <w:t>V</w:t>
      </w:r>
      <w:r w:rsidR="004821F2">
        <w:t>erbundenes Unternehmen der Emittentin ist und alle Verpflichtungen übernimmt, die die Emittentin im Zusammenhang mit den Schuldverschreibungen eingegangen ist</w:t>
      </w:r>
      <w:r w:rsidR="00AA76AD">
        <w:t>.</w:t>
      </w:r>
    </w:p>
    <w:p w:rsidRPr="002F08F2" w:rsidR="004821F2" w:rsidP="001F19E2" w:rsidRDefault="004821F2" w14:paraId="109DE0F0" w14:textId="37BF4DD9">
      <w:pPr>
        <w:ind w:left="708"/>
      </w:pPr>
      <w:r>
        <w:t xml:space="preserve">Ein wichtiger Grund, der zur außerordentlichen Kündigung der Schuldverschreibungen berechtigt, ist insbesondere nicht allein deshalb anzunehmen, weil sich die </w:t>
      </w:r>
      <w:r>
        <w:t xml:space="preserve">Vermögensverhältnisse der Emittentin verschlechtert haben. Sofern die Emittentin Sanierungsbemühungen beabsichtigt, insbesondere wenn sich diese Absicht durch Einberufung einer Gläubigerversammlung </w:t>
      </w:r>
      <w:r w:rsidRPr="002F08F2">
        <w:t>oder Ankündigung der Einberufung einer Gläubigerversammlung konkretisiert, ist eine Ausübung der in</w:t>
      </w:r>
      <w:r w:rsidRPr="002F08F2" w:rsidR="000772CB">
        <w:t xml:space="preserve"> dieser</w:t>
      </w:r>
      <w:r w:rsidRPr="002F08F2">
        <w:t xml:space="preserve"> Ziffer </w:t>
      </w:r>
      <w:r w:rsidRPr="002F08F2" w:rsidR="00ED484E">
        <w:t>1</w:t>
      </w:r>
      <w:r w:rsidR="004E0FFF">
        <w:t>2</w:t>
      </w:r>
      <w:r w:rsidRPr="002F08F2">
        <w:t xml:space="preserve"> geregelten oder sonstiger außerordentlicher Kündigungsrechte der Anleihegläubiger </w:t>
      </w:r>
      <w:r w:rsidRPr="002F08F2" w:rsidR="000772CB">
        <w:t xml:space="preserve">soweit gesetzlich möglich </w:t>
      </w:r>
      <w:r w:rsidRPr="002F08F2">
        <w:t>jeweils bis zum Ablauf von 120 Tagen nach dem Zeitpunkt der Ankündigung oder Einberufung einer Gläubigerversammlung ausgeschlossen, sofern Gegenstand der Gläubigerversammlung Sanierungsmaßnahmen sind.</w:t>
      </w:r>
    </w:p>
    <w:p w:rsidR="004821F2" w:rsidP="001F19E2" w:rsidRDefault="00ED484E" w14:paraId="13CB1D40" w14:textId="7EBE2D32">
      <w:pPr>
        <w:ind w:left="708" w:hanging="708"/>
      </w:pPr>
      <w:r w:rsidRPr="00060F91">
        <w:t>1</w:t>
      </w:r>
      <w:r w:rsidR="008846E4">
        <w:t>2</w:t>
      </w:r>
      <w:r w:rsidRPr="00060F91" w:rsidR="004821F2">
        <w:t>.2</w:t>
      </w:r>
      <w:r w:rsidRPr="00060F91" w:rsidR="004821F2">
        <w:tab/>
      </w:r>
      <w:r w:rsidRPr="00060F91" w:rsidR="004821F2">
        <w:t>Eine Kündigungserklärung nach dieser Ziffer </w:t>
      </w:r>
      <w:r w:rsidRPr="00060F91">
        <w:t>1</w:t>
      </w:r>
      <w:r w:rsidR="004E0FFF">
        <w:t>2</w:t>
      </w:r>
      <w:r w:rsidRPr="00060F91" w:rsidR="004821F2">
        <w:t xml:space="preserve"> hat in der Weise zu erfolgen, dass der Anleihegläubiger der Emittentin die Erklärung in Textform (§ 126b BGB) übersendet und die Umstände darlegt, aus denen sich die vorzeitige Fälligstellung gemäß dieser Ziffer </w:t>
      </w:r>
      <w:r w:rsidRPr="00060F91">
        <w:t>1</w:t>
      </w:r>
      <w:r w:rsidR="004E0FFF">
        <w:t>2</w:t>
      </w:r>
      <w:r w:rsidRPr="00060F91" w:rsidR="004821F2">
        <w:t xml:space="preserve"> ergibt.</w:t>
      </w:r>
      <w:r w:rsidRPr="00060F91" w:rsidR="00B85B4B">
        <w:t xml:space="preserve"> </w:t>
      </w:r>
      <w:r w:rsidRPr="00060F91" w:rsidR="00D5170F">
        <w:t>Der Kündigung muss ein nach deutschem Recht wirksamer Eigentumsnachweis in deutscher Sprache beigefügt sein.</w:t>
      </w:r>
      <w:r w:rsidRPr="002F08F2" w:rsidR="00D5170F">
        <w:t xml:space="preserve"> </w:t>
      </w:r>
    </w:p>
    <w:p w:rsidRPr="00EB018F" w:rsidR="00296BE3" w:rsidP="00B90175" w:rsidRDefault="00ED484E" w14:paraId="2B9C9FEB" w14:textId="19DFF9FB">
      <w:pPr>
        <w:ind w:left="708" w:hanging="708"/>
      </w:pPr>
      <w:r w:rsidRPr="00EB018F">
        <w:t>1</w:t>
      </w:r>
      <w:r w:rsidR="008846E4">
        <w:t>2</w:t>
      </w:r>
      <w:r w:rsidRPr="00EB018F" w:rsidR="004821F2">
        <w:t>.3</w:t>
      </w:r>
      <w:r w:rsidRPr="00EB018F" w:rsidR="004821F2">
        <w:tab/>
      </w:r>
      <w:r w:rsidRPr="00EB018F" w:rsidR="004821F2">
        <w:t>Das Kündigungsrecht erlischt, falls der Kündigungsgrund vor Ausübung des Rechts geheilt wurde.</w:t>
      </w:r>
    </w:p>
    <w:p w:rsidR="00F809B8" w:rsidP="00F809B8" w:rsidRDefault="00F809B8" w14:paraId="75B76874" w14:textId="3AC53A15">
      <w:pPr>
        <w:ind w:left="708" w:hanging="708"/>
      </w:pPr>
      <w:r w:rsidRPr="00EB018F">
        <w:t>1</w:t>
      </w:r>
      <w:r w:rsidR="008846E4">
        <w:t>2</w:t>
      </w:r>
      <w:r w:rsidRPr="00EB018F">
        <w:t>.4</w:t>
      </w:r>
      <w:r w:rsidRPr="00EB018F">
        <w:tab/>
      </w:r>
      <w:r w:rsidRPr="00EB018F">
        <w:t>Im Falle einer wirksamen Kündigung aus wichtigem Grund sind die Schuldverschreibungen nebst Zinsen sofort, also mit Zugang der Kündigung, fällig.</w:t>
      </w:r>
      <w:r w:rsidRPr="00C67488">
        <w:t xml:space="preserve"> </w:t>
      </w:r>
    </w:p>
    <w:p w:rsidRPr="00225E7D" w:rsidR="004821F2" w:rsidP="001F19E2" w:rsidRDefault="00AB3D83" w14:paraId="622C033C" w14:textId="08171456">
      <w:pPr>
        <w:pStyle w:val="Heading2"/>
      </w:pPr>
      <w:r w:rsidRPr="00225E7D">
        <w:t>1</w:t>
      </w:r>
      <w:r w:rsidR="008846E4">
        <w:t>3</w:t>
      </w:r>
      <w:r w:rsidRPr="00225E7D" w:rsidR="004821F2">
        <w:t>.</w:t>
      </w:r>
      <w:r w:rsidRPr="00225E7D" w:rsidR="004821F2">
        <w:tab/>
      </w:r>
      <w:r w:rsidRPr="00225E7D" w:rsidR="004821F2">
        <w:t>Kündigung durch die Emittentin</w:t>
      </w:r>
    </w:p>
    <w:p w:rsidRPr="00F82C63" w:rsidR="00296BE3" w:rsidP="00F07CCD" w:rsidRDefault="00296BE3" w14:paraId="70C8FEE3" w14:textId="74D8AEDE">
      <w:pPr>
        <w:ind w:left="708" w:hanging="708"/>
      </w:pPr>
      <w:r w:rsidRPr="00F82C63">
        <w:t>1</w:t>
      </w:r>
      <w:r w:rsidR="008846E4">
        <w:t>3</w:t>
      </w:r>
      <w:r w:rsidRPr="00F82C63">
        <w:t>.1</w:t>
      </w:r>
      <w:r w:rsidRPr="00F82C63" w:rsidR="00225E7D">
        <w:tab/>
      </w:r>
      <w:r w:rsidRPr="00F82C63">
        <w:t>Die Emittentin ist berechtigt, aber nicht verpflichtet, die Schuldverschreibungen vorzeitig zu kündigen und</w:t>
      </w:r>
      <w:r w:rsidRPr="00F82C63" w:rsidR="00225E7D">
        <w:t xml:space="preserve"> </w:t>
      </w:r>
      <w:r w:rsidRPr="00F82C63">
        <w:t>zum Nennbetrag an die Anleihegläubiger zurückzuzahlen, wenn</w:t>
      </w:r>
      <w:r w:rsidRPr="00F82C63" w:rsidR="00225E7D">
        <w:t xml:space="preserve"> </w:t>
      </w:r>
      <w:r w:rsidRPr="00F82C63" w:rsidR="00533E73">
        <w:t>der Kaufvertrag über den Erwerb des Assets rückabgewickelt oder für nichtig erklärt wird.</w:t>
      </w:r>
    </w:p>
    <w:p w:rsidRPr="00F82C63" w:rsidR="00F82C63" w:rsidP="00F07CCD" w:rsidRDefault="00F82C63" w14:paraId="3EB6AFC6" w14:textId="1A97962E">
      <w:pPr>
        <w:ind w:left="708" w:hanging="708"/>
      </w:pPr>
      <w:r w:rsidRPr="00F82C63">
        <w:t>1</w:t>
      </w:r>
      <w:r w:rsidR="008846E4">
        <w:t>3</w:t>
      </w:r>
      <w:r w:rsidRPr="00F82C63">
        <w:t>.2</w:t>
      </w:r>
      <w:r w:rsidRPr="00F82C63">
        <w:tab/>
      </w:r>
      <w:r w:rsidRPr="00F82C63">
        <w:t>Die Emittentin ist zudem während der Laufzeit der Schuldverschreibungen berechtigt, diese jederzeit vollständig zu kündigen. Kündigt die Emittentin die Schuldverschreibungen auf Grundlage dieser Ziffer </w:t>
      </w:r>
      <w:r w:rsidRPr="00F82C63" w:rsidR="004E0FFF">
        <w:t>1</w:t>
      </w:r>
      <w:r w:rsidR="004E0FFF">
        <w:t>3</w:t>
      </w:r>
      <w:r w:rsidRPr="00F82C63">
        <w:t xml:space="preserve">.2, </w:t>
      </w:r>
      <w:r>
        <w:t xml:space="preserve">hat sie an die Anleihegläubiger über den jeweiligen Nennbetrag und aufgelaufene Zinsen hinaus einen </w:t>
      </w:r>
      <w:r w:rsidRPr="007E0061">
        <w:t xml:space="preserve">einmonatigen Strafzins </w:t>
      </w:r>
      <w:r w:rsidRPr="00100BF8">
        <w:t>(auf Grundlage eines Monats von 30 Tagen)</w:t>
      </w:r>
      <w:r w:rsidRPr="007E0061">
        <w:t xml:space="preserve"> zu zahlen.</w:t>
      </w:r>
      <w:r w:rsidRPr="007E0061" w:rsidR="00434A38">
        <w:t xml:space="preserve"> Darüber hinaus hat die E</w:t>
      </w:r>
      <w:r w:rsidR="00434A38">
        <w:t>mittentin sich im Rahmen ihrer vertraglichen Beziehungen zur Kazpar GmbH verpflichtet, im Falle der vorzeitigen Kündigung eine Gebühr von 0,5% des Nennbetrags der Schuldverschreibungen an die Kazpar GmbH zu zahlen.</w:t>
      </w:r>
    </w:p>
    <w:p w:rsidR="00296BE3" w:rsidP="00225E7D" w:rsidRDefault="00296BE3" w14:paraId="669EB0E9" w14:textId="7D368BED">
      <w:pPr>
        <w:ind w:left="708" w:hanging="708"/>
      </w:pPr>
      <w:r w:rsidRPr="00F82C63">
        <w:t>1</w:t>
      </w:r>
      <w:r w:rsidR="008846E4">
        <w:t>3</w:t>
      </w:r>
      <w:r w:rsidRPr="00F82C63">
        <w:t>.2</w:t>
      </w:r>
      <w:r w:rsidRPr="00F82C63" w:rsidR="00225E7D">
        <w:tab/>
      </w:r>
      <w:r w:rsidRPr="00F82C63">
        <w:t xml:space="preserve">Die Emittentin hat </w:t>
      </w:r>
      <w:r w:rsidRPr="00F82C63" w:rsidR="00F82C63">
        <w:t xml:space="preserve">eine </w:t>
      </w:r>
      <w:r w:rsidRPr="00F82C63">
        <w:t>vorzeitige Kündigung mit einer Frist von mindestens 14 Tagen gemäß Ziff</w:t>
      </w:r>
      <w:r w:rsidRPr="00F82C63" w:rsidR="00225E7D">
        <w:t>er </w:t>
      </w:r>
      <w:r w:rsidRPr="00F82C63">
        <w:t>1</w:t>
      </w:r>
      <w:r w:rsidR="008846E4">
        <w:t>4</w:t>
      </w:r>
      <w:r w:rsidRPr="00F82C63">
        <w:t xml:space="preserve"> bekannt</w:t>
      </w:r>
      <w:r w:rsidRPr="00F82C63" w:rsidR="00225E7D">
        <w:t xml:space="preserve"> </w:t>
      </w:r>
      <w:r w:rsidRPr="00F82C63">
        <w:t>zu machen.</w:t>
      </w:r>
    </w:p>
    <w:p w:rsidR="004821F2" w:rsidP="001F19E2" w:rsidRDefault="00CE191C" w14:paraId="0075ECDF" w14:textId="43E1B566">
      <w:pPr>
        <w:pStyle w:val="Heading2"/>
      </w:pPr>
      <w:r>
        <w:t>1</w:t>
      </w:r>
      <w:r w:rsidR="008846E4">
        <w:t>4</w:t>
      </w:r>
      <w:r w:rsidR="004821F2">
        <w:t>.</w:t>
      </w:r>
      <w:r w:rsidR="004821F2">
        <w:tab/>
      </w:r>
      <w:r w:rsidRPr="00225E7D" w:rsidR="004821F2">
        <w:t>Bekanntmachungen</w:t>
      </w:r>
    </w:p>
    <w:p w:rsidR="004821F2" w:rsidP="00683533" w:rsidRDefault="00683533" w14:paraId="5509A95B" w14:textId="1F1475D6">
      <w:pPr>
        <w:ind w:left="708"/>
      </w:pPr>
      <w:r>
        <w:t xml:space="preserve">Bekanntmachungen oder sonstige Erklärungen der Emittentin erfolgen auf der Internetseite der </w:t>
      </w:r>
      <w:r w:rsidR="00AA76AD">
        <w:t>Kazpar</w:t>
      </w:r>
      <w:r w:rsidR="00F07CCD">
        <w:t>-</w:t>
      </w:r>
      <w:r>
        <w:t>Plattform (www.</w:t>
      </w:r>
      <w:r w:rsidR="00AA76AD">
        <w:t>kazpar</w:t>
      </w:r>
      <w:r>
        <w:t>.</w:t>
      </w:r>
      <w:r w:rsidR="00AA76AD">
        <w:t>com</w:t>
      </w:r>
      <w:r>
        <w:t xml:space="preserve">), soweit gesetzlich nicht etwas anderes bestimmt ist. Jede Mitteilung gilt mit dem Tag ihrer Veröffentlichung (oder bei mehreren Mitteilungen mit dem Tage </w:t>
      </w:r>
      <w:r>
        <w:t>der ersten Veröffentlichung) als bekanntgemacht. Einer besonderen Benachrichtigung der einzelnen Anleihegläubiger bedarf es nicht.</w:t>
      </w:r>
    </w:p>
    <w:p w:rsidR="004821F2" w:rsidP="00FD0BD2" w:rsidRDefault="004821F2" w14:paraId="739E74A0" w14:textId="5756F220">
      <w:pPr>
        <w:pStyle w:val="Heading2"/>
      </w:pPr>
      <w:r>
        <w:t>1</w:t>
      </w:r>
      <w:r w:rsidR="008846E4">
        <w:t>5</w:t>
      </w:r>
      <w:r w:rsidR="00205077">
        <w:t>.</w:t>
      </w:r>
      <w:r>
        <w:tab/>
      </w:r>
      <w:r>
        <w:t>Änderungen der Anleihebedingungen durch die Emittentin</w:t>
      </w:r>
    </w:p>
    <w:p w:rsidR="004821F2" w:rsidP="00C422E5" w:rsidRDefault="004821F2" w14:paraId="20ED2213" w14:textId="18DF9883">
      <w:pPr>
        <w:ind w:left="708" w:hanging="708"/>
      </w:pPr>
      <w:r>
        <w:t>1</w:t>
      </w:r>
      <w:r w:rsidR="008846E4">
        <w:t>5</w:t>
      </w:r>
      <w:r>
        <w:t>.1</w:t>
      </w:r>
      <w:r>
        <w:tab/>
      </w:r>
      <w:r>
        <w:t xml:space="preserve">Die §§ 5 bis 22 </w:t>
      </w:r>
      <w:proofErr w:type="spellStart"/>
      <w:r w:rsidR="00862E37">
        <w:t>SchVG</w:t>
      </w:r>
      <w:proofErr w:type="spellEnd"/>
      <w:r w:rsidR="00862E37">
        <w:t xml:space="preserve"> </w:t>
      </w:r>
      <w:r>
        <w:t xml:space="preserve">findet auf die Schuldverschreibungen und diese Anleihebedingungen </w:t>
      </w:r>
      <w:r w:rsidR="00D741A6">
        <w:t xml:space="preserve">entsprechende </w:t>
      </w:r>
      <w:r>
        <w:t>Anwendung</w:t>
      </w:r>
      <w:r w:rsidR="00FD2494">
        <w:t>, soweit in diesen Anleihebedingungen nichts anderes geregelt ist</w:t>
      </w:r>
      <w:r>
        <w:t>. Die Anleihegläubiger können Änderungen der Anleihebedingungen - einschließlich einzelner oder aller Maßnahmen nach §</w:t>
      </w:r>
      <w:r w:rsidR="00296BE3">
        <w:t> </w:t>
      </w:r>
      <w:r>
        <w:t>5 Abs.</w:t>
      </w:r>
      <w:r w:rsidR="00296BE3">
        <w:t> </w:t>
      </w:r>
      <w:r w:rsidR="00C422E5">
        <w:t>3</w:t>
      </w:r>
      <w:r>
        <w:t xml:space="preserve"> </w:t>
      </w:r>
      <w:proofErr w:type="spellStart"/>
      <w:r w:rsidR="00475229">
        <w:t>SchVG</w:t>
      </w:r>
      <w:proofErr w:type="spellEnd"/>
      <w:r>
        <w:t xml:space="preserve"> - durch Mehrheitsbeschluss zustimmen.</w:t>
      </w:r>
      <w:r w:rsidRPr="00296BE3" w:rsidR="00296BE3">
        <w:t xml:space="preserve"> </w:t>
      </w:r>
    </w:p>
    <w:p w:rsidR="009C6B9E" w:rsidP="009C6B9E" w:rsidRDefault="004821F2" w14:paraId="11D46021" w14:textId="0A9794F1">
      <w:pPr>
        <w:ind w:left="708" w:hanging="708"/>
      </w:pPr>
      <w:r>
        <w:t>1</w:t>
      </w:r>
      <w:r w:rsidR="008846E4">
        <w:t>5</w:t>
      </w:r>
      <w:r>
        <w:t>.2</w:t>
      </w:r>
      <w:r>
        <w:tab/>
      </w:r>
      <w:r w:rsidRPr="00B26F0A" w:rsidR="00296BE3">
        <w:t xml:space="preserve">Alle Abstimmungen gemäß </w:t>
      </w:r>
      <w:proofErr w:type="spellStart"/>
      <w:r w:rsidR="003878C7">
        <w:t>SchVG</w:t>
      </w:r>
      <w:proofErr w:type="spellEnd"/>
      <w:r w:rsidRPr="00B26F0A" w:rsidR="00296BE3">
        <w:t xml:space="preserve"> werden ausschließlich im</w:t>
      </w:r>
      <w:r w:rsidRPr="00B26F0A" w:rsidR="00B26F0A">
        <w:t xml:space="preserve"> </w:t>
      </w:r>
      <w:r w:rsidRPr="00B26F0A" w:rsidR="00296BE3">
        <w:t xml:space="preserve">Wege der Abstimmung ohne Versammlung </w:t>
      </w:r>
      <w:r w:rsidR="00D741A6">
        <w:t xml:space="preserve">auf der Kazpar-Plattform </w:t>
      </w:r>
      <w:r w:rsidRPr="00B26F0A" w:rsidR="00296BE3">
        <w:t>durchgeführt, sofern die Emittentin nicht</w:t>
      </w:r>
      <w:r w:rsidRPr="00B26F0A" w:rsidR="00B26F0A">
        <w:t xml:space="preserve"> </w:t>
      </w:r>
      <w:r w:rsidRPr="00B26F0A" w:rsidR="00296BE3">
        <w:t xml:space="preserve">im Einzelfall etwas anderes entscheidet. </w:t>
      </w:r>
      <w:r w:rsidR="00D741A6">
        <w:t>„Z</w:t>
      </w:r>
      <w:r w:rsidRPr="00D741A6" w:rsidR="00D741A6">
        <w:t>weite Versammlung</w:t>
      </w:r>
      <w:r w:rsidR="00D741A6">
        <w:t>en“</w:t>
      </w:r>
      <w:r w:rsidRPr="00D741A6" w:rsidR="00D741A6">
        <w:t xml:space="preserve"> im Sinne des §</w:t>
      </w:r>
      <w:r w:rsidR="00D741A6">
        <w:t> </w:t>
      </w:r>
      <w:r w:rsidRPr="00D741A6" w:rsidR="00D741A6">
        <w:t>15 Absatz</w:t>
      </w:r>
      <w:r w:rsidR="00D741A6">
        <w:t> </w:t>
      </w:r>
      <w:r w:rsidRPr="00D741A6" w:rsidR="00D741A6">
        <w:t>3 Satz</w:t>
      </w:r>
      <w:r w:rsidR="00D741A6">
        <w:t> </w:t>
      </w:r>
      <w:r w:rsidRPr="00D741A6" w:rsidR="00D741A6">
        <w:t>3</w:t>
      </w:r>
      <w:r w:rsidR="00D741A6">
        <w:t xml:space="preserve"> </w:t>
      </w:r>
      <w:proofErr w:type="spellStart"/>
      <w:r w:rsidR="00D741A6">
        <w:t>SchVG</w:t>
      </w:r>
      <w:proofErr w:type="spellEnd"/>
      <w:r w:rsidR="00D741A6">
        <w:t xml:space="preserve"> erfolgen abweichend von § 18 Abs. 4 Satz 2 </w:t>
      </w:r>
      <w:proofErr w:type="spellStart"/>
      <w:r w:rsidR="00D741A6">
        <w:t>SchVG</w:t>
      </w:r>
      <w:proofErr w:type="spellEnd"/>
      <w:r w:rsidR="00D741A6">
        <w:t xml:space="preserve"> ebenfalls im Wege der Abstimmung ohne Versammlung.</w:t>
      </w:r>
    </w:p>
    <w:p w:rsidR="004821F2" w:rsidP="00FD0BD2" w:rsidRDefault="004821F2" w14:paraId="7BE41C9A" w14:textId="6A1D74A3">
      <w:pPr>
        <w:pStyle w:val="Heading2"/>
      </w:pPr>
      <w:r>
        <w:t>1</w:t>
      </w:r>
      <w:r w:rsidR="008846E4">
        <w:t>6</w:t>
      </w:r>
      <w:r>
        <w:t>.</w:t>
      </w:r>
      <w:r>
        <w:tab/>
      </w:r>
      <w:r>
        <w:t>Maßgebliches Recht, Gerichtsstand, Vorlegungsfrist, maßgebliche Sprache</w:t>
      </w:r>
    </w:p>
    <w:p w:rsidR="004821F2" w:rsidP="00FD0BD2" w:rsidRDefault="004821F2" w14:paraId="792A4610" w14:textId="7BB9C849">
      <w:pPr>
        <w:ind w:left="708" w:hanging="708"/>
      </w:pPr>
      <w:r>
        <w:t>1</w:t>
      </w:r>
      <w:r w:rsidR="008846E4">
        <w:t>6</w:t>
      </w:r>
      <w:r>
        <w:t>.1</w:t>
      </w:r>
      <w:r>
        <w:tab/>
      </w:r>
      <w:r>
        <w:t xml:space="preserve">Form und Inhalt der Schuldverschreibungen und alle sich </w:t>
      </w:r>
      <w:r w:rsidR="00296BE3">
        <w:t xml:space="preserve">etwaig </w:t>
      </w:r>
      <w:r>
        <w:t>daraus ergebenden Rechte und Pflichten der Anleihegläubiger</w:t>
      </w:r>
      <w:r w:rsidR="00296BE3">
        <w:t>,</w:t>
      </w:r>
      <w:r>
        <w:t xml:space="preserve"> der Emittentin</w:t>
      </w:r>
      <w:r w:rsidR="00296BE3">
        <w:t>, der registerführenden Stelle</w:t>
      </w:r>
      <w:r>
        <w:t xml:space="preserve"> </w:t>
      </w:r>
      <w:r w:rsidR="00296BE3">
        <w:t xml:space="preserve">und der Zahlstelle </w:t>
      </w:r>
      <w:r>
        <w:t xml:space="preserve">unterliegen dem Recht der Bundesrepublik Deutschland. </w:t>
      </w:r>
    </w:p>
    <w:p w:rsidR="004821F2" w:rsidP="00296BE3" w:rsidRDefault="004821F2" w14:paraId="65CED968" w14:textId="7B3DBCCE">
      <w:pPr>
        <w:ind w:left="708" w:hanging="708"/>
      </w:pPr>
      <w:r>
        <w:t>1</w:t>
      </w:r>
      <w:r w:rsidR="008846E4">
        <w:t>6</w:t>
      </w:r>
      <w:r>
        <w:t>.2</w:t>
      </w:r>
      <w:r>
        <w:tab/>
      </w:r>
      <w:r w:rsidRPr="00296BE3" w:rsidR="00296BE3">
        <w:t>Nichtausschließlicher</w:t>
      </w:r>
      <w:r w:rsidR="00296BE3">
        <w:t xml:space="preserve"> </w:t>
      </w:r>
      <w:r>
        <w:t xml:space="preserve">Gerichtsstand für alle sich aus dem Rechtsverhältnis zwischen Anleihegläubiger und Emittentin ergebenden Rechtsstreitigkeiten ist </w:t>
      </w:r>
      <w:r w:rsidR="001B3F9D">
        <w:t>Berlin</w:t>
      </w:r>
      <w:r w:rsidR="00507923">
        <w:t>,</w:t>
      </w:r>
      <w:r w:rsidRPr="00296BE3" w:rsidR="00296BE3">
        <w:t xml:space="preserve"> </w:t>
      </w:r>
      <w:r w:rsidR="00296BE3">
        <w:t>soweit nicht zwingende gesetzliche Vorschriften etwas anderes bestimmen</w:t>
      </w:r>
      <w:r>
        <w:t xml:space="preserve">. Diese Gerichtsstandvereinbarung beschränkt nicht das Recht eines </w:t>
      </w:r>
      <w:r w:rsidR="00296BE3">
        <w:t>Anleiheg</w:t>
      </w:r>
      <w:r>
        <w:t xml:space="preserve">läubigers, Verfahren vor einem anderen zuständigen Gericht anzustrengen. Ebenso wenig schließt die Einleitung von Verfahren vor einem oder mehreren anderen Gerichtsständen die Einleitung von Verfahren an einem anderen Gerichtsstand aus, falls und soweit dies rechtlich zulässig ist. </w:t>
      </w:r>
    </w:p>
    <w:p w:rsidR="004821F2" w:rsidP="004D791B" w:rsidRDefault="004821F2" w14:paraId="33E3782B" w14:textId="028C2450">
      <w:pPr>
        <w:ind w:left="708" w:hanging="708"/>
      </w:pPr>
      <w:r>
        <w:t>1</w:t>
      </w:r>
      <w:r w:rsidR="008846E4">
        <w:t>6</w:t>
      </w:r>
      <w:r>
        <w:t>.</w:t>
      </w:r>
      <w:r w:rsidR="00AA5CC2">
        <w:t>3</w:t>
      </w:r>
      <w:r>
        <w:tab/>
      </w:r>
      <w:r w:rsidR="004D791B">
        <w:t>Sollten einzelne Bestimmungen dieser Anleihebedingungen insgesamt oder teilweise unwirksam sein oder unwirksam werden oder eine an sich notwendige Regelung nicht enthalten, so wird hierdurch der übrige Inhalt dieser Anleihebedingungen nicht berührt. Anstelle der unwirksamen Bestimmung oder zur Ausführung der Regelungslücke soll, soweit rechtlich möglich, eine dem wirtschaftlichen Sinn und Zweck der unwirksamen Bestimmung bzw. dem Sinn dieser Bedingungen entsprechende Regelung erfolgen.</w:t>
      </w:r>
    </w:p>
    <w:p w:rsidR="004821F2" w:rsidP="004821F2" w:rsidRDefault="004821F2" w14:paraId="3885E4BC" w14:textId="77777777"/>
    <w:p w:rsidR="004821F2" w:rsidP="004821F2" w:rsidRDefault="001929E3" w14:paraId="03A4D558" w14:textId="4687A073">
      <w:r>
        <w:rPr>
          <w:highlight w:val="yellow"/>
        </w:rPr>
        <w:t>[</w:t>
      </w:r>
      <w:r w:rsidR="004821F2">
        <w:rPr>
          <w:highlight w:val="yellow"/>
        </w:rPr>
        <w:t>Ort</w:t>
      </w:r>
      <w:r>
        <w:rPr>
          <w:highlight w:val="yellow"/>
        </w:rPr>
        <w:t>]</w:t>
      </w:r>
      <w:r w:rsidRPr="001929E3" w:rsidR="004821F2">
        <w:t xml:space="preserve">, </w:t>
      </w:r>
      <w:r>
        <w:rPr>
          <w:highlight w:val="yellow"/>
        </w:rPr>
        <w:t>[</w:t>
      </w:r>
      <w:r w:rsidR="004821F2">
        <w:rPr>
          <w:highlight w:val="yellow"/>
        </w:rPr>
        <w:t>Datum</w:t>
      </w:r>
      <w:r>
        <w:t>]</w:t>
      </w:r>
    </w:p>
    <w:p w:rsidRPr="0050490E" w:rsidR="0050490E" w:rsidP="0050490E" w:rsidRDefault="0050490E" w14:paraId="385F310A" w14:textId="53C6E49B">
      <w:pPr>
        <w:ind w:left="142" w:hanging="142"/>
        <w:jc w:val="right"/>
        <w:rPr>
          <w:sz w:val="16"/>
          <w:szCs w:val="16"/>
        </w:rPr>
      </w:pPr>
    </w:p>
    <w:sectPr w:rsidRPr="0050490E" w:rsidR="0050490E">
      <w:footerReference w:type="default" r:id="rId15"/>
      <w:pgSz w:w="11906" w:h="16838" w:orient="portrait"/>
      <w:pgMar w:top="1440" w:right="1440" w:bottom="144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380" w:rsidP="00162362" w:rsidRDefault="00F67380" w14:paraId="0E8C84E5" w14:textId="77777777">
      <w:pPr>
        <w:spacing w:after="0" w:line="240" w:lineRule="auto"/>
      </w:pPr>
      <w:r>
        <w:separator/>
      </w:r>
    </w:p>
  </w:endnote>
  <w:endnote w:type="continuationSeparator" w:id="0">
    <w:p w:rsidR="00F67380" w:rsidP="00162362" w:rsidRDefault="00F67380" w14:paraId="1AA914A9" w14:textId="77777777">
      <w:pPr>
        <w:spacing w:after="0" w:line="240" w:lineRule="auto"/>
      </w:pPr>
      <w:r>
        <w:continuationSeparator/>
      </w:r>
    </w:p>
  </w:endnote>
  <w:endnote w:type="continuationNotice" w:id="1">
    <w:p w:rsidR="00F67380" w:rsidRDefault="00F67380" w14:paraId="4B785D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5238520"/>
      <w:docPartObj>
        <w:docPartGallery w:val="Page Numbers (Top of Page)"/>
        <w:docPartUnique/>
      </w:docPartObj>
    </w:sdtPr>
    <w:sdtContent>
      <w:p w:rsidR="0050490E" w:rsidP="0050490E" w:rsidRDefault="0050490E" w14:paraId="5F7D5E02" w14:textId="226B7E7F">
        <w:pPr>
          <w:pStyle w:val="Footer"/>
          <w:pBdr>
            <w:top w:val="single" w:color="auto" w:sz="4" w:space="1"/>
          </w:pBdr>
          <w:jc w:val="right"/>
          <w:rPr>
            <w:sz w:val="16"/>
            <w:szCs w:val="16"/>
          </w:rPr>
        </w:pPr>
      </w:p>
      <w:p w:rsidRPr="001929E3" w:rsidR="0050490E" w:rsidP="0050490E" w:rsidRDefault="0050490E" w14:paraId="11950C79" w14:textId="2DA5AC08">
        <w:pPr>
          <w:pStyle w:val="Footer"/>
          <w:jc w:val="right"/>
          <w:rPr>
            <w:sz w:val="16"/>
            <w:szCs w:val="16"/>
          </w:rPr>
        </w:pPr>
        <w:r>
          <w:rPr>
            <w:sz w:val="16"/>
            <w:szCs w:val="16"/>
          </w:rPr>
          <w:t xml:space="preserve">Anleihebedingungen der nachrangigen Schuldverschreibungen </w:t>
        </w:r>
        <w:r>
          <w:rPr>
            <w:sz w:val="16"/>
            <w:szCs w:val="16"/>
            <w:highlight w:val="yellow"/>
          </w:rPr>
          <w:t>[Emissionsbezeichnung]</w:t>
        </w:r>
        <w:r>
          <w:rPr>
            <w:sz w:val="16"/>
            <w:szCs w:val="16"/>
          </w:rPr>
          <w:t xml:space="preserve"> der </w:t>
        </w:r>
        <w:r>
          <w:rPr>
            <w:sz w:val="16"/>
            <w:szCs w:val="16"/>
            <w:highlight w:val="yellow"/>
          </w:rPr>
          <w:t>[Emittentin]</w:t>
        </w:r>
        <w:r>
          <w:rPr>
            <w:sz w:val="16"/>
            <w:szCs w:val="16"/>
          </w:rPr>
          <w:br/>
        </w:r>
        <w:r w:rsidRPr="001929E3">
          <w:rPr>
            <w:sz w:val="16"/>
            <w:szCs w:val="16"/>
          </w:rPr>
          <w:t xml:space="preserve">Stand: </w:t>
        </w:r>
        <w:r w:rsidRPr="001929E3" w:rsidR="001929E3">
          <w:rPr>
            <w:iCs/>
            <w:sz w:val="16"/>
            <w:szCs w:val="16"/>
            <w:highlight w:val="yellow"/>
          </w:rPr>
          <w:t>[Monat]</w:t>
        </w:r>
        <w:r w:rsidRPr="001929E3" w:rsidR="001929E3">
          <w:rPr>
            <w:iCs/>
            <w:sz w:val="16"/>
            <w:szCs w:val="16"/>
          </w:rPr>
          <w:t xml:space="preserve"> </w:t>
        </w:r>
        <w:r w:rsidRPr="001929E3" w:rsidR="001929E3">
          <w:rPr>
            <w:iCs/>
            <w:sz w:val="16"/>
            <w:szCs w:val="16"/>
            <w:highlight w:val="yellow"/>
          </w:rPr>
          <w:t>[Jahr]</w:t>
        </w:r>
      </w:p>
      <w:p w:rsidR="0050490E" w:rsidP="0050490E" w:rsidRDefault="0050490E" w14:paraId="1E0C3B1A" w14:textId="77777777">
        <w:pPr>
          <w:pStyle w:val="Footer"/>
          <w:jc w:val="right"/>
          <w:rPr>
            <w:sz w:val="16"/>
            <w:szCs w:val="16"/>
          </w:rPr>
        </w:pPr>
      </w:p>
      <w:p w:rsidRPr="0050490E" w:rsidR="0050490E" w:rsidP="0050490E" w:rsidRDefault="0050490E" w14:paraId="3D5DB080" w14:textId="6AA46DC6">
        <w:pPr>
          <w:pStyle w:val="Footer"/>
          <w:jc w:val="right"/>
          <w:rPr>
            <w:bCs/>
            <w:sz w:val="16"/>
            <w:szCs w:val="16"/>
          </w:rPr>
        </w:pPr>
        <w:r>
          <w:rPr>
            <w:sz w:val="16"/>
            <w:szCs w:val="16"/>
          </w:rPr>
          <w:t xml:space="preserve">Seite </w:t>
        </w:r>
        <w:r>
          <w:rPr>
            <w:bCs/>
            <w:sz w:val="16"/>
            <w:szCs w:val="16"/>
          </w:rPr>
          <w:fldChar w:fldCharType="begin"/>
        </w:r>
        <w:r>
          <w:rPr>
            <w:bCs/>
            <w:sz w:val="16"/>
            <w:szCs w:val="16"/>
          </w:rPr>
          <w:instrText>PAGE</w:instrText>
        </w:r>
        <w:r>
          <w:rPr>
            <w:bCs/>
            <w:sz w:val="16"/>
            <w:szCs w:val="16"/>
          </w:rPr>
          <w:fldChar w:fldCharType="separate"/>
        </w:r>
        <w:r>
          <w:rPr>
            <w:bCs/>
            <w:sz w:val="16"/>
            <w:szCs w:val="16"/>
          </w:rPr>
          <w:t>13</w:t>
        </w:r>
        <w:r>
          <w:rPr>
            <w:bCs/>
            <w:sz w:val="16"/>
            <w:szCs w:val="16"/>
          </w:rPr>
          <w:fldChar w:fldCharType="end"/>
        </w:r>
        <w:r>
          <w:rPr>
            <w:sz w:val="16"/>
            <w:szCs w:val="16"/>
          </w:rPr>
          <w:t xml:space="preserve"> von </w:t>
        </w:r>
        <w:r>
          <w:rPr>
            <w:bCs/>
            <w:sz w:val="16"/>
            <w:szCs w:val="16"/>
          </w:rPr>
          <w:fldChar w:fldCharType="begin"/>
        </w:r>
        <w:r>
          <w:rPr>
            <w:bCs/>
            <w:sz w:val="16"/>
            <w:szCs w:val="16"/>
          </w:rPr>
          <w:instrText>NUMPAGES</w:instrText>
        </w:r>
        <w:r>
          <w:rPr>
            <w:bCs/>
            <w:sz w:val="16"/>
            <w:szCs w:val="16"/>
          </w:rPr>
          <w:fldChar w:fldCharType="separate"/>
        </w:r>
        <w:r>
          <w:rPr>
            <w:bCs/>
            <w:sz w:val="16"/>
            <w:szCs w:val="16"/>
          </w:rPr>
          <w:t>14</w:t>
        </w:r>
        <w:r>
          <w:rPr>
            <w:bCs/>
            <w:sz w:val="16"/>
            <w:szCs w:val="16"/>
          </w:rPr>
          <w:fldChar w:fldCharType="end"/>
        </w:r>
      </w:p>
    </w:sdtContent>
    <w:sdtEndPr>
      <w:rPr>
        <w:sz w:val="16"/>
        <w:szCs w:val="16"/>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380" w:rsidP="00162362" w:rsidRDefault="00F67380" w14:paraId="1E47C052" w14:textId="77777777">
      <w:pPr>
        <w:spacing w:after="0" w:line="240" w:lineRule="auto"/>
      </w:pPr>
      <w:r>
        <w:separator/>
      </w:r>
    </w:p>
  </w:footnote>
  <w:footnote w:type="continuationSeparator" w:id="0">
    <w:p w:rsidR="00F67380" w:rsidP="00162362" w:rsidRDefault="00F67380" w14:paraId="2B2D0494" w14:textId="77777777">
      <w:pPr>
        <w:spacing w:after="0" w:line="240" w:lineRule="auto"/>
      </w:pPr>
      <w:r>
        <w:continuationSeparator/>
      </w:r>
    </w:p>
  </w:footnote>
  <w:footnote w:type="continuationNotice" w:id="1">
    <w:p w:rsidR="00F67380" w:rsidRDefault="00F67380" w14:paraId="46D50AC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FD9"/>
    <w:multiLevelType w:val="hybridMultilevel"/>
    <w:tmpl w:val="93A2262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837FDA"/>
    <w:multiLevelType w:val="hybridMultilevel"/>
    <w:tmpl w:val="2BF4AB54"/>
    <w:lvl w:ilvl="0" w:tplc="04070019">
      <w:start w:val="3"/>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837FDB"/>
    <w:multiLevelType w:val="hybridMultilevel"/>
    <w:tmpl w:val="A8FEAB24"/>
    <w:lvl w:ilvl="0" w:tplc="04070019">
      <w:start w:val="4"/>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560DFB"/>
    <w:multiLevelType w:val="multilevel"/>
    <w:tmpl w:val="2F4CEBF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00408F"/>
    <w:multiLevelType w:val="hybridMultilevel"/>
    <w:tmpl w:val="C50CF4F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8E0078"/>
    <w:multiLevelType w:val="hybridMultilevel"/>
    <w:tmpl w:val="79F4FD7E"/>
    <w:lvl w:ilvl="0" w:tplc="0407001B">
      <w:start w:val="1"/>
      <w:numFmt w:val="low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0DAF2BA4"/>
    <w:multiLevelType w:val="hybridMultilevel"/>
    <w:tmpl w:val="0AD03118"/>
    <w:lvl w:ilvl="0" w:tplc="FFFFFFFF">
      <w:start w:val="1"/>
      <w:numFmt w:val="decimal"/>
      <w:pStyle w:val="Anstriche"/>
      <w:lvlText w:val="(%1)"/>
      <w:lvlJc w:val="left"/>
      <w:pPr>
        <w:ind w:left="360" w:hanging="360"/>
      </w:pPr>
    </w:lvl>
    <w:lvl w:ilvl="1" w:tplc="AB8C9A78">
      <w:start w:val="1"/>
      <w:numFmt w:val="lowerLetter"/>
      <w:lvlText w:val="%2)"/>
      <w:lvlJc w:val="left"/>
      <w:pPr>
        <w:ind w:left="1080" w:hanging="360"/>
      </w:pPr>
      <w:rPr>
        <w:rFonts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7D74C4D"/>
    <w:multiLevelType w:val="multilevel"/>
    <w:tmpl w:val="E6865C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7A2737"/>
    <w:multiLevelType w:val="multilevel"/>
    <w:tmpl w:val="3FC2700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785AAC"/>
    <w:multiLevelType w:val="hybridMultilevel"/>
    <w:tmpl w:val="3B50DE7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F700AA"/>
    <w:multiLevelType w:val="multilevel"/>
    <w:tmpl w:val="4B5A0F5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EF6304"/>
    <w:multiLevelType w:val="hybridMultilevel"/>
    <w:tmpl w:val="3AC2ABC0"/>
    <w:lvl w:ilvl="0" w:tplc="80AA5A86">
      <w:start w:val="1"/>
      <w:numFmt w:val="decimal"/>
      <w:lvlText w:val="(%1)"/>
      <w:lvlJc w:val="left"/>
      <w:pPr>
        <w:ind w:left="400" w:hanging="360"/>
      </w:pPr>
      <w:rPr>
        <w:rFonts w:hint="default"/>
      </w:rPr>
    </w:lvl>
    <w:lvl w:ilvl="1" w:tplc="04070019">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abstractNum w:abstractNumId="12" w15:restartNumberingAfterBreak="0">
    <w:nsid w:val="25562037"/>
    <w:multiLevelType w:val="multilevel"/>
    <w:tmpl w:val="46FCBB0A"/>
    <w:lvl w:ilvl="0">
      <w:start w:val="6"/>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35E82"/>
    <w:multiLevelType w:val="multilevel"/>
    <w:tmpl w:val="DD708E4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C237EE"/>
    <w:multiLevelType w:val="hybridMultilevel"/>
    <w:tmpl w:val="7EFE5A06"/>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40263867"/>
    <w:multiLevelType w:val="multilevel"/>
    <w:tmpl w:val="11321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0611972"/>
    <w:multiLevelType w:val="hybridMultilevel"/>
    <w:tmpl w:val="31FC02D6"/>
    <w:lvl w:ilvl="0" w:tplc="04070017">
      <w:start w:val="1"/>
      <w:numFmt w:val="lowerLetter"/>
      <w:lvlText w:val="%1)"/>
      <w:lvlJc w:val="left"/>
      <w:pPr>
        <w:ind w:left="720" w:hanging="360"/>
      </w:pPr>
    </w:lvl>
    <w:lvl w:ilvl="1" w:tplc="10DAFBEC">
      <w:start w:val="1"/>
      <w:numFmt w:val="lowerLetter"/>
      <w:lvlText w:val="%2."/>
      <w:lvlJc w:val="left"/>
      <w:pPr>
        <w:ind w:left="1780" w:hanging="70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D94C9E"/>
    <w:multiLevelType w:val="hybridMultilevel"/>
    <w:tmpl w:val="F5EC120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04D568D"/>
    <w:multiLevelType w:val="hybridMultilevel"/>
    <w:tmpl w:val="475A94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B731F9"/>
    <w:multiLevelType w:val="hybridMultilevel"/>
    <w:tmpl w:val="1B0291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200E3F"/>
    <w:multiLevelType w:val="hybridMultilevel"/>
    <w:tmpl w:val="7EFE5A06"/>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63701C03"/>
    <w:multiLevelType w:val="multilevel"/>
    <w:tmpl w:val="A448F6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934EEB"/>
    <w:multiLevelType w:val="multilevel"/>
    <w:tmpl w:val="BBF67EF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5C522B"/>
    <w:multiLevelType w:val="multilevel"/>
    <w:tmpl w:val="0407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6A4E0BF2"/>
    <w:multiLevelType w:val="multilevel"/>
    <w:tmpl w:val="0784CA1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0B133C"/>
    <w:multiLevelType w:val="hybridMultilevel"/>
    <w:tmpl w:val="14AEDE46"/>
    <w:lvl w:ilvl="0" w:tplc="0407001B">
      <w:start w:val="1"/>
      <w:numFmt w:val="lowerRoman"/>
      <w:lvlText w:val="%1."/>
      <w:lvlJc w:val="right"/>
      <w:pPr>
        <w:ind w:left="1440" w:hanging="360"/>
      </w:pPr>
    </w:lvl>
    <w:lvl w:ilvl="1" w:tplc="A76EC63C">
      <w:start w:val="1"/>
      <w:numFmt w:val="lowerLetter"/>
      <w:lvlText w:val="%2)"/>
      <w:lvlJc w:val="left"/>
      <w:pPr>
        <w:ind w:left="2500" w:hanging="700"/>
      </w:pPr>
      <w:rPr>
        <w:rFonts w:hint="default"/>
      </w:r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7444357D"/>
    <w:multiLevelType w:val="hybridMultilevel"/>
    <w:tmpl w:val="8E944DC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91A2E0B"/>
    <w:multiLevelType w:val="multilevel"/>
    <w:tmpl w:val="34C8609A"/>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1A199C"/>
    <w:multiLevelType w:val="multilevel"/>
    <w:tmpl w:val="768EC19A"/>
    <w:lvl w:ilvl="0">
      <w:start w:val="6"/>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486877"/>
    <w:multiLevelType w:val="multilevel"/>
    <w:tmpl w:val="D856D2BC"/>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2239074">
    <w:abstractNumId w:val="11"/>
  </w:num>
  <w:num w:numId="2" w16cid:durableId="671763224">
    <w:abstractNumId w:val="21"/>
  </w:num>
  <w:num w:numId="3" w16cid:durableId="1034815827">
    <w:abstractNumId w:val="8"/>
  </w:num>
  <w:num w:numId="4" w16cid:durableId="2063941781">
    <w:abstractNumId w:val="26"/>
  </w:num>
  <w:num w:numId="5" w16cid:durableId="1905605853">
    <w:abstractNumId w:val="6"/>
  </w:num>
  <w:num w:numId="6" w16cid:durableId="428547279">
    <w:abstractNumId w:val="29"/>
  </w:num>
  <w:num w:numId="7" w16cid:durableId="2105177927">
    <w:abstractNumId w:val="27"/>
  </w:num>
  <w:num w:numId="8" w16cid:durableId="149294248">
    <w:abstractNumId w:val="9"/>
  </w:num>
  <w:num w:numId="9" w16cid:durableId="1573005332">
    <w:abstractNumId w:val="7"/>
  </w:num>
  <w:num w:numId="10" w16cid:durableId="1806850505">
    <w:abstractNumId w:val="14"/>
  </w:num>
  <w:num w:numId="11" w16cid:durableId="1780417158">
    <w:abstractNumId w:val="20"/>
  </w:num>
  <w:num w:numId="12" w16cid:durableId="470563488">
    <w:abstractNumId w:val="13"/>
  </w:num>
  <w:num w:numId="13" w16cid:durableId="2028018902">
    <w:abstractNumId w:val="16"/>
  </w:num>
  <w:num w:numId="14" w16cid:durableId="715357268">
    <w:abstractNumId w:val="25"/>
  </w:num>
  <w:num w:numId="15" w16cid:durableId="408843194">
    <w:abstractNumId w:val="5"/>
  </w:num>
  <w:num w:numId="16" w16cid:durableId="2060744062">
    <w:abstractNumId w:val="24"/>
  </w:num>
  <w:num w:numId="17" w16cid:durableId="50925716">
    <w:abstractNumId w:val="10"/>
  </w:num>
  <w:num w:numId="18" w16cid:durableId="1218275817">
    <w:abstractNumId w:val="22"/>
  </w:num>
  <w:num w:numId="19" w16cid:durableId="1680082120">
    <w:abstractNumId w:val="12"/>
  </w:num>
  <w:num w:numId="20" w16cid:durableId="382564299">
    <w:abstractNumId w:val="28"/>
  </w:num>
  <w:num w:numId="21" w16cid:durableId="1043596149">
    <w:abstractNumId w:val="17"/>
  </w:num>
  <w:num w:numId="22" w16cid:durableId="478235016">
    <w:abstractNumId w:val="18"/>
  </w:num>
  <w:num w:numId="23" w16cid:durableId="1663579441">
    <w:abstractNumId w:val="19"/>
  </w:num>
  <w:num w:numId="24" w16cid:durableId="1073699185">
    <w:abstractNumId w:val="3"/>
  </w:num>
  <w:num w:numId="25" w16cid:durableId="988629955">
    <w:abstractNumId w:val="4"/>
  </w:num>
  <w:num w:numId="26" w16cid:durableId="600603774">
    <w:abstractNumId w:val="0"/>
  </w:num>
  <w:num w:numId="27" w16cid:durableId="1418210161">
    <w:abstractNumId w:val="1"/>
  </w:num>
  <w:num w:numId="28" w16cid:durableId="1405296616">
    <w:abstractNumId w:val="2"/>
  </w:num>
  <w:num w:numId="29" w16cid:durableId="1979072082">
    <w:abstractNumId w:val="23"/>
  </w:num>
  <w:num w:numId="30" w16cid:durableId="531959786">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18"/>
    <w:rsid w:val="00002BCB"/>
    <w:rsid w:val="00003D70"/>
    <w:rsid w:val="000046E8"/>
    <w:rsid w:val="00004B12"/>
    <w:rsid w:val="00004FB5"/>
    <w:rsid w:val="000057E0"/>
    <w:rsid w:val="00005D0D"/>
    <w:rsid w:val="00005FDA"/>
    <w:rsid w:val="00007A12"/>
    <w:rsid w:val="000106A2"/>
    <w:rsid w:val="0001231A"/>
    <w:rsid w:val="00016820"/>
    <w:rsid w:val="000174EF"/>
    <w:rsid w:val="00017FD6"/>
    <w:rsid w:val="000203F6"/>
    <w:rsid w:val="0002241A"/>
    <w:rsid w:val="00023E73"/>
    <w:rsid w:val="00025749"/>
    <w:rsid w:val="00030DE5"/>
    <w:rsid w:val="000330F3"/>
    <w:rsid w:val="00034522"/>
    <w:rsid w:val="0003477E"/>
    <w:rsid w:val="00037A48"/>
    <w:rsid w:val="0004434A"/>
    <w:rsid w:val="00044B0F"/>
    <w:rsid w:val="0004676A"/>
    <w:rsid w:val="000467E3"/>
    <w:rsid w:val="000517A2"/>
    <w:rsid w:val="00051879"/>
    <w:rsid w:val="000529ED"/>
    <w:rsid w:val="00054AE6"/>
    <w:rsid w:val="000559F2"/>
    <w:rsid w:val="000570DF"/>
    <w:rsid w:val="00057906"/>
    <w:rsid w:val="00060F91"/>
    <w:rsid w:val="00062486"/>
    <w:rsid w:val="0006258E"/>
    <w:rsid w:val="00065487"/>
    <w:rsid w:val="000655F9"/>
    <w:rsid w:val="00066730"/>
    <w:rsid w:val="00066A02"/>
    <w:rsid w:val="000676E4"/>
    <w:rsid w:val="00067974"/>
    <w:rsid w:val="00070030"/>
    <w:rsid w:val="000720B1"/>
    <w:rsid w:val="00074E5D"/>
    <w:rsid w:val="000772CB"/>
    <w:rsid w:val="000801C1"/>
    <w:rsid w:val="00081EB2"/>
    <w:rsid w:val="000829B3"/>
    <w:rsid w:val="00082E66"/>
    <w:rsid w:val="00083CD5"/>
    <w:rsid w:val="0008463D"/>
    <w:rsid w:val="0008677D"/>
    <w:rsid w:val="00087297"/>
    <w:rsid w:val="000A2581"/>
    <w:rsid w:val="000A6624"/>
    <w:rsid w:val="000B5617"/>
    <w:rsid w:val="000B7156"/>
    <w:rsid w:val="000B7FDA"/>
    <w:rsid w:val="000C0B90"/>
    <w:rsid w:val="000C443E"/>
    <w:rsid w:val="000C4D79"/>
    <w:rsid w:val="000C6498"/>
    <w:rsid w:val="000C6A0D"/>
    <w:rsid w:val="000C79BA"/>
    <w:rsid w:val="000D1974"/>
    <w:rsid w:val="000D7D55"/>
    <w:rsid w:val="000E0B2E"/>
    <w:rsid w:val="000E1CA6"/>
    <w:rsid w:val="000E40B3"/>
    <w:rsid w:val="000E4A89"/>
    <w:rsid w:val="000E6A2F"/>
    <w:rsid w:val="000F136F"/>
    <w:rsid w:val="000F22AC"/>
    <w:rsid w:val="000F2807"/>
    <w:rsid w:val="000F38EF"/>
    <w:rsid w:val="000F3AA3"/>
    <w:rsid w:val="000F44E7"/>
    <w:rsid w:val="000F636E"/>
    <w:rsid w:val="00100BF8"/>
    <w:rsid w:val="00100C01"/>
    <w:rsid w:val="00101AD7"/>
    <w:rsid w:val="00105381"/>
    <w:rsid w:val="00105F78"/>
    <w:rsid w:val="0011484D"/>
    <w:rsid w:val="00116C61"/>
    <w:rsid w:val="00117212"/>
    <w:rsid w:val="001245C7"/>
    <w:rsid w:val="00127B76"/>
    <w:rsid w:val="0013049C"/>
    <w:rsid w:val="00130728"/>
    <w:rsid w:val="001338D3"/>
    <w:rsid w:val="0013401E"/>
    <w:rsid w:val="00136740"/>
    <w:rsid w:val="00137210"/>
    <w:rsid w:val="00137698"/>
    <w:rsid w:val="00140C23"/>
    <w:rsid w:val="00141583"/>
    <w:rsid w:val="00141EBB"/>
    <w:rsid w:val="00147579"/>
    <w:rsid w:val="00147C94"/>
    <w:rsid w:val="0015248E"/>
    <w:rsid w:val="00153373"/>
    <w:rsid w:val="001539B6"/>
    <w:rsid w:val="00153DB5"/>
    <w:rsid w:val="00154F4E"/>
    <w:rsid w:val="00155026"/>
    <w:rsid w:val="001563A8"/>
    <w:rsid w:val="001573CD"/>
    <w:rsid w:val="00157741"/>
    <w:rsid w:val="0016034F"/>
    <w:rsid w:val="00160719"/>
    <w:rsid w:val="00162362"/>
    <w:rsid w:val="001624DC"/>
    <w:rsid w:val="00162974"/>
    <w:rsid w:val="0016489E"/>
    <w:rsid w:val="001650EC"/>
    <w:rsid w:val="00166162"/>
    <w:rsid w:val="00166DED"/>
    <w:rsid w:val="00172057"/>
    <w:rsid w:val="00173775"/>
    <w:rsid w:val="00176362"/>
    <w:rsid w:val="00176841"/>
    <w:rsid w:val="00180036"/>
    <w:rsid w:val="0018144F"/>
    <w:rsid w:val="00181F52"/>
    <w:rsid w:val="0018510E"/>
    <w:rsid w:val="00185BEF"/>
    <w:rsid w:val="00185C4E"/>
    <w:rsid w:val="00187C73"/>
    <w:rsid w:val="00190997"/>
    <w:rsid w:val="001929E3"/>
    <w:rsid w:val="00193878"/>
    <w:rsid w:val="00197044"/>
    <w:rsid w:val="0019704B"/>
    <w:rsid w:val="00197FD5"/>
    <w:rsid w:val="001A3756"/>
    <w:rsid w:val="001A5652"/>
    <w:rsid w:val="001B022B"/>
    <w:rsid w:val="001B0FD2"/>
    <w:rsid w:val="001B3F9D"/>
    <w:rsid w:val="001B4AA0"/>
    <w:rsid w:val="001B5E59"/>
    <w:rsid w:val="001C1C7D"/>
    <w:rsid w:val="001C417B"/>
    <w:rsid w:val="001C5394"/>
    <w:rsid w:val="001C58FE"/>
    <w:rsid w:val="001C68D1"/>
    <w:rsid w:val="001C6AC4"/>
    <w:rsid w:val="001C7374"/>
    <w:rsid w:val="001D118F"/>
    <w:rsid w:val="001D514D"/>
    <w:rsid w:val="001D5354"/>
    <w:rsid w:val="001D536E"/>
    <w:rsid w:val="001E20C9"/>
    <w:rsid w:val="001E312A"/>
    <w:rsid w:val="001E33E8"/>
    <w:rsid w:val="001F19E2"/>
    <w:rsid w:val="001F2577"/>
    <w:rsid w:val="001F2E18"/>
    <w:rsid w:val="001F3C5C"/>
    <w:rsid w:val="001F48F2"/>
    <w:rsid w:val="001F533D"/>
    <w:rsid w:val="001F644E"/>
    <w:rsid w:val="001F704E"/>
    <w:rsid w:val="001F78BC"/>
    <w:rsid w:val="00204B83"/>
    <w:rsid w:val="00205077"/>
    <w:rsid w:val="00205285"/>
    <w:rsid w:val="00206E85"/>
    <w:rsid w:val="0021051F"/>
    <w:rsid w:val="002110D7"/>
    <w:rsid w:val="00211CCC"/>
    <w:rsid w:val="00211E2E"/>
    <w:rsid w:val="002125C8"/>
    <w:rsid w:val="00215BB5"/>
    <w:rsid w:val="00216718"/>
    <w:rsid w:val="00223CF4"/>
    <w:rsid w:val="00224168"/>
    <w:rsid w:val="002257AE"/>
    <w:rsid w:val="00225E7D"/>
    <w:rsid w:val="002346AE"/>
    <w:rsid w:val="002352F5"/>
    <w:rsid w:val="0024250D"/>
    <w:rsid w:val="00244E80"/>
    <w:rsid w:val="0024550A"/>
    <w:rsid w:val="002457E8"/>
    <w:rsid w:val="002511EF"/>
    <w:rsid w:val="00251208"/>
    <w:rsid w:val="002518F4"/>
    <w:rsid w:val="00252104"/>
    <w:rsid w:val="00257BCD"/>
    <w:rsid w:val="00260D38"/>
    <w:rsid w:val="00260FFE"/>
    <w:rsid w:val="002621F5"/>
    <w:rsid w:val="002643C9"/>
    <w:rsid w:val="00272FEF"/>
    <w:rsid w:val="0027464B"/>
    <w:rsid w:val="00277924"/>
    <w:rsid w:val="002811A0"/>
    <w:rsid w:val="002839AF"/>
    <w:rsid w:val="00283B6D"/>
    <w:rsid w:val="00283E94"/>
    <w:rsid w:val="00285D6B"/>
    <w:rsid w:val="0028622B"/>
    <w:rsid w:val="00287E2D"/>
    <w:rsid w:val="00292E8D"/>
    <w:rsid w:val="002938B0"/>
    <w:rsid w:val="0029393F"/>
    <w:rsid w:val="00295214"/>
    <w:rsid w:val="00295CF0"/>
    <w:rsid w:val="002966D2"/>
    <w:rsid w:val="002968C2"/>
    <w:rsid w:val="00296B44"/>
    <w:rsid w:val="00296BE3"/>
    <w:rsid w:val="002A1F5D"/>
    <w:rsid w:val="002B2C18"/>
    <w:rsid w:val="002B538F"/>
    <w:rsid w:val="002B68BE"/>
    <w:rsid w:val="002C0076"/>
    <w:rsid w:val="002C034A"/>
    <w:rsid w:val="002C0501"/>
    <w:rsid w:val="002C0EF2"/>
    <w:rsid w:val="002C34A2"/>
    <w:rsid w:val="002C53C0"/>
    <w:rsid w:val="002C5688"/>
    <w:rsid w:val="002C7C3B"/>
    <w:rsid w:val="002D270F"/>
    <w:rsid w:val="002D4896"/>
    <w:rsid w:val="002D5912"/>
    <w:rsid w:val="002E1ABF"/>
    <w:rsid w:val="002E3471"/>
    <w:rsid w:val="002E3E56"/>
    <w:rsid w:val="002E6CEB"/>
    <w:rsid w:val="002F08F2"/>
    <w:rsid w:val="002F0A5F"/>
    <w:rsid w:val="002F3AB3"/>
    <w:rsid w:val="002F3AE3"/>
    <w:rsid w:val="002F5BA0"/>
    <w:rsid w:val="002F5BE0"/>
    <w:rsid w:val="002F6FAB"/>
    <w:rsid w:val="002F74F7"/>
    <w:rsid w:val="002F7BCE"/>
    <w:rsid w:val="003008F8"/>
    <w:rsid w:val="003059F5"/>
    <w:rsid w:val="00310528"/>
    <w:rsid w:val="0031287A"/>
    <w:rsid w:val="00312D26"/>
    <w:rsid w:val="0031581D"/>
    <w:rsid w:val="00316A4D"/>
    <w:rsid w:val="0031776C"/>
    <w:rsid w:val="00317DFF"/>
    <w:rsid w:val="00321D61"/>
    <w:rsid w:val="0032233F"/>
    <w:rsid w:val="003223D2"/>
    <w:rsid w:val="003228B7"/>
    <w:rsid w:val="00323345"/>
    <w:rsid w:val="003238AB"/>
    <w:rsid w:val="00324B5F"/>
    <w:rsid w:val="003255FB"/>
    <w:rsid w:val="003324D0"/>
    <w:rsid w:val="003341E5"/>
    <w:rsid w:val="00337204"/>
    <w:rsid w:val="003415FE"/>
    <w:rsid w:val="00344172"/>
    <w:rsid w:val="00344E3B"/>
    <w:rsid w:val="00345516"/>
    <w:rsid w:val="00347542"/>
    <w:rsid w:val="00356C6C"/>
    <w:rsid w:val="00360883"/>
    <w:rsid w:val="003636AA"/>
    <w:rsid w:val="0036548A"/>
    <w:rsid w:val="00365B45"/>
    <w:rsid w:val="003667EC"/>
    <w:rsid w:val="003720BE"/>
    <w:rsid w:val="0037254D"/>
    <w:rsid w:val="00372F84"/>
    <w:rsid w:val="0037657B"/>
    <w:rsid w:val="00376C53"/>
    <w:rsid w:val="003772F7"/>
    <w:rsid w:val="00377C7C"/>
    <w:rsid w:val="00381B19"/>
    <w:rsid w:val="003842E5"/>
    <w:rsid w:val="00385441"/>
    <w:rsid w:val="00385D19"/>
    <w:rsid w:val="003878C7"/>
    <w:rsid w:val="00393E15"/>
    <w:rsid w:val="0039458E"/>
    <w:rsid w:val="00397173"/>
    <w:rsid w:val="003A0E89"/>
    <w:rsid w:val="003A4876"/>
    <w:rsid w:val="003A6038"/>
    <w:rsid w:val="003B35FB"/>
    <w:rsid w:val="003B3FAE"/>
    <w:rsid w:val="003B4F7F"/>
    <w:rsid w:val="003B51D0"/>
    <w:rsid w:val="003C0274"/>
    <w:rsid w:val="003C0D54"/>
    <w:rsid w:val="003C46DF"/>
    <w:rsid w:val="003C5007"/>
    <w:rsid w:val="003C6893"/>
    <w:rsid w:val="003D00D3"/>
    <w:rsid w:val="003D191D"/>
    <w:rsid w:val="003D1D56"/>
    <w:rsid w:val="003D4EC2"/>
    <w:rsid w:val="003E2EE2"/>
    <w:rsid w:val="003E344D"/>
    <w:rsid w:val="003E3DFF"/>
    <w:rsid w:val="003E4C2C"/>
    <w:rsid w:val="003E6527"/>
    <w:rsid w:val="003E782D"/>
    <w:rsid w:val="003F1671"/>
    <w:rsid w:val="003F2C23"/>
    <w:rsid w:val="003F2FDA"/>
    <w:rsid w:val="003F35FE"/>
    <w:rsid w:val="003F5AC8"/>
    <w:rsid w:val="003F5B69"/>
    <w:rsid w:val="003F5DAE"/>
    <w:rsid w:val="0040115F"/>
    <w:rsid w:val="0040254E"/>
    <w:rsid w:val="00403C8A"/>
    <w:rsid w:val="00403E95"/>
    <w:rsid w:val="00407EE1"/>
    <w:rsid w:val="00410F49"/>
    <w:rsid w:val="004126FF"/>
    <w:rsid w:val="00416868"/>
    <w:rsid w:val="00417FF2"/>
    <w:rsid w:val="00423486"/>
    <w:rsid w:val="00427076"/>
    <w:rsid w:val="0043140D"/>
    <w:rsid w:val="0043269E"/>
    <w:rsid w:val="004349AE"/>
    <w:rsid w:val="00434A38"/>
    <w:rsid w:val="00434C48"/>
    <w:rsid w:val="00436FA9"/>
    <w:rsid w:val="00436FE7"/>
    <w:rsid w:val="00437C3F"/>
    <w:rsid w:val="004405E6"/>
    <w:rsid w:val="004410DB"/>
    <w:rsid w:val="004419AD"/>
    <w:rsid w:val="00443118"/>
    <w:rsid w:val="0044381C"/>
    <w:rsid w:val="00444F2B"/>
    <w:rsid w:val="004461E4"/>
    <w:rsid w:val="004469EA"/>
    <w:rsid w:val="00450D0E"/>
    <w:rsid w:val="00460056"/>
    <w:rsid w:val="00461B4E"/>
    <w:rsid w:val="00463D7E"/>
    <w:rsid w:val="00466381"/>
    <w:rsid w:val="0047155B"/>
    <w:rsid w:val="0047168C"/>
    <w:rsid w:val="004716AE"/>
    <w:rsid w:val="00471F18"/>
    <w:rsid w:val="004720B5"/>
    <w:rsid w:val="004721D2"/>
    <w:rsid w:val="00474C81"/>
    <w:rsid w:val="00475229"/>
    <w:rsid w:val="00476A47"/>
    <w:rsid w:val="004817D2"/>
    <w:rsid w:val="004821F2"/>
    <w:rsid w:val="004831EE"/>
    <w:rsid w:val="00484175"/>
    <w:rsid w:val="004868DC"/>
    <w:rsid w:val="00486B37"/>
    <w:rsid w:val="00490F7E"/>
    <w:rsid w:val="004943AD"/>
    <w:rsid w:val="00496BC3"/>
    <w:rsid w:val="00497385"/>
    <w:rsid w:val="00497776"/>
    <w:rsid w:val="004A3084"/>
    <w:rsid w:val="004A4D81"/>
    <w:rsid w:val="004A646C"/>
    <w:rsid w:val="004B0975"/>
    <w:rsid w:val="004B2172"/>
    <w:rsid w:val="004B3AFC"/>
    <w:rsid w:val="004B3E95"/>
    <w:rsid w:val="004B407A"/>
    <w:rsid w:val="004B7FDA"/>
    <w:rsid w:val="004C038B"/>
    <w:rsid w:val="004C3B11"/>
    <w:rsid w:val="004C3FFE"/>
    <w:rsid w:val="004C40DB"/>
    <w:rsid w:val="004C69FC"/>
    <w:rsid w:val="004C7F07"/>
    <w:rsid w:val="004D0094"/>
    <w:rsid w:val="004D02D9"/>
    <w:rsid w:val="004D07FC"/>
    <w:rsid w:val="004D1D7E"/>
    <w:rsid w:val="004D3724"/>
    <w:rsid w:val="004D3C86"/>
    <w:rsid w:val="004D455E"/>
    <w:rsid w:val="004D57A0"/>
    <w:rsid w:val="004D7337"/>
    <w:rsid w:val="004D791B"/>
    <w:rsid w:val="004D7A94"/>
    <w:rsid w:val="004E041A"/>
    <w:rsid w:val="004E0819"/>
    <w:rsid w:val="004E0FFF"/>
    <w:rsid w:val="004E12F3"/>
    <w:rsid w:val="004E22B5"/>
    <w:rsid w:val="004E2F99"/>
    <w:rsid w:val="004E57A4"/>
    <w:rsid w:val="004E7987"/>
    <w:rsid w:val="004F316A"/>
    <w:rsid w:val="004F31DC"/>
    <w:rsid w:val="004F3DA7"/>
    <w:rsid w:val="004F4645"/>
    <w:rsid w:val="00500DD2"/>
    <w:rsid w:val="00500E50"/>
    <w:rsid w:val="00502F9C"/>
    <w:rsid w:val="0050490E"/>
    <w:rsid w:val="00504C81"/>
    <w:rsid w:val="005066B7"/>
    <w:rsid w:val="00507923"/>
    <w:rsid w:val="00510D92"/>
    <w:rsid w:val="0051385C"/>
    <w:rsid w:val="00513DBE"/>
    <w:rsid w:val="00517D8A"/>
    <w:rsid w:val="00520E6A"/>
    <w:rsid w:val="0052121D"/>
    <w:rsid w:val="0052299C"/>
    <w:rsid w:val="00524827"/>
    <w:rsid w:val="00524C36"/>
    <w:rsid w:val="005259B1"/>
    <w:rsid w:val="00531441"/>
    <w:rsid w:val="00533E73"/>
    <w:rsid w:val="0053663D"/>
    <w:rsid w:val="0054315E"/>
    <w:rsid w:val="00543698"/>
    <w:rsid w:val="00543E76"/>
    <w:rsid w:val="00544B95"/>
    <w:rsid w:val="00545697"/>
    <w:rsid w:val="00546403"/>
    <w:rsid w:val="00552F76"/>
    <w:rsid w:val="005532D5"/>
    <w:rsid w:val="00557B07"/>
    <w:rsid w:val="0056145D"/>
    <w:rsid w:val="00561FE7"/>
    <w:rsid w:val="005622BC"/>
    <w:rsid w:val="005637D7"/>
    <w:rsid w:val="00563FCC"/>
    <w:rsid w:val="00567197"/>
    <w:rsid w:val="00570F8B"/>
    <w:rsid w:val="00571141"/>
    <w:rsid w:val="00571DAA"/>
    <w:rsid w:val="00576583"/>
    <w:rsid w:val="00577BF7"/>
    <w:rsid w:val="00577EE6"/>
    <w:rsid w:val="00582B5C"/>
    <w:rsid w:val="00583EF9"/>
    <w:rsid w:val="005843D1"/>
    <w:rsid w:val="00584841"/>
    <w:rsid w:val="00585A08"/>
    <w:rsid w:val="00585CAC"/>
    <w:rsid w:val="00587B79"/>
    <w:rsid w:val="0059353B"/>
    <w:rsid w:val="00593DE2"/>
    <w:rsid w:val="00596B0D"/>
    <w:rsid w:val="005A0024"/>
    <w:rsid w:val="005A2B29"/>
    <w:rsid w:val="005B283F"/>
    <w:rsid w:val="005B2BAF"/>
    <w:rsid w:val="005B338C"/>
    <w:rsid w:val="005B4284"/>
    <w:rsid w:val="005B57F1"/>
    <w:rsid w:val="005B5CA6"/>
    <w:rsid w:val="005B7E9F"/>
    <w:rsid w:val="005C5AC2"/>
    <w:rsid w:val="005C6B38"/>
    <w:rsid w:val="005D0593"/>
    <w:rsid w:val="005D0AE1"/>
    <w:rsid w:val="005D35F7"/>
    <w:rsid w:val="005D3611"/>
    <w:rsid w:val="005D79AE"/>
    <w:rsid w:val="005E0CB9"/>
    <w:rsid w:val="005E0DAA"/>
    <w:rsid w:val="005E2408"/>
    <w:rsid w:val="005E41B0"/>
    <w:rsid w:val="005E4A39"/>
    <w:rsid w:val="005E5E3D"/>
    <w:rsid w:val="005F06C0"/>
    <w:rsid w:val="005F4303"/>
    <w:rsid w:val="005F5203"/>
    <w:rsid w:val="005F5635"/>
    <w:rsid w:val="005F5642"/>
    <w:rsid w:val="00600A1C"/>
    <w:rsid w:val="0060439B"/>
    <w:rsid w:val="00612C7F"/>
    <w:rsid w:val="006138AD"/>
    <w:rsid w:val="00614A59"/>
    <w:rsid w:val="00620BBB"/>
    <w:rsid w:val="00621072"/>
    <w:rsid w:val="00622CB9"/>
    <w:rsid w:val="00623E4F"/>
    <w:rsid w:val="006242FE"/>
    <w:rsid w:val="006243AD"/>
    <w:rsid w:val="00626786"/>
    <w:rsid w:val="00626B22"/>
    <w:rsid w:val="00630068"/>
    <w:rsid w:val="0063074A"/>
    <w:rsid w:val="0063249E"/>
    <w:rsid w:val="00633606"/>
    <w:rsid w:val="00633A4A"/>
    <w:rsid w:val="006342E1"/>
    <w:rsid w:val="006366D6"/>
    <w:rsid w:val="0063776A"/>
    <w:rsid w:val="00637D23"/>
    <w:rsid w:val="00640117"/>
    <w:rsid w:val="006434CA"/>
    <w:rsid w:val="00643FCA"/>
    <w:rsid w:val="0064624F"/>
    <w:rsid w:val="00646E1C"/>
    <w:rsid w:val="00650448"/>
    <w:rsid w:val="00661422"/>
    <w:rsid w:val="00663404"/>
    <w:rsid w:val="00666C4A"/>
    <w:rsid w:val="00666C9B"/>
    <w:rsid w:val="00670721"/>
    <w:rsid w:val="0067145E"/>
    <w:rsid w:val="00673EC1"/>
    <w:rsid w:val="00675883"/>
    <w:rsid w:val="0067736D"/>
    <w:rsid w:val="00677410"/>
    <w:rsid w:val="00683533"/>
    <w:rsid w:val="00683BC6"/>
    <w:rsid w:val="0068480F"/>
    <w:rsid w:val="00684D97"/>
    <w:rsid w:val="006853C6"/>
    <w:rsid w:val="0068615B"/>
    <w:rsid w:val="006909D0"/>
    <w:rsid w:val="00693455"/>
    <w:rsid w:val="00696D7C"/>
    <w:rsid w:val="00697557"/>
    <w:rsid w:val="006A2988"/>
    <w:rsid w:val="006A364F"/>
    <w:rsid w:val="006A371E"/>
    <w:rsid w:val="006A4B24"/>
    <w:rsid w:val="006A4BAE"/>
    <w:rsid w:val="006A4D2A"/>
    <w:rsid w:val="006B1ECD"/>
    <w:rsid w:val="006B2112"/>
    <w:rsid w:val="006B6C0B"/>
    <w:rsid w:val="006B7B38"/>
    <w:rsid w:val="006C109A"/>
    <w:rsid w:val="006C1B59"/>
    <w:rsid w:val="006C4368"/>
    <w:rsid w:val="006C6468"/>
    <w:rsid w:val="006C6E85"/>
    <w:rsid w:val="006C75EE"/>
    <w:rsid w:val="006D167F"/>
    <w:rsid w:val="006D2677"/>
    <w:rsid w:val="006D35AB"/>
    <w:rsid w:val="006D3DCC"/>
    <w:rsid w:val="006D5FE9"/>
    <w:rsid w:val="006D6028"/>
    <w:rsid w:val="006E0A40"/>
    <w:rsid w:val="006E161C"/>
    <w:rsid w:val="006E3EC0"/>
    <w:rsid w:val="006E488E"/>
    <w:rsid w:val="006E5470"/>
    <w:rsid w:val="006E5A25"/>
    <w:rsid w:val="006E60C1"/>
    <w:rsid w:val="006E75CD"/>
    <w:rsid w:val="006F161F"/>
    <w:rsid w:val="006F5E9B"/>
    <w:rsid w:val="00702141"/>
    <w:rsid w:val="00703D37"/>
    <w:rsid w:val="0070420E"/>
    <w:rsid w:val="0070502B"/>
    <w:rsid w:val="00705111"/>
    <w:rsid w:val="0070512D"/>
    <w:rsid w:val="00706F24"/>
    <w:rsid w:val="007122B4"/>
    <w:rsid w:val="00712DEC"/>
    <w:rsid w:val="00713A64"/>
    <w:rsid w:val="00716FBD"/>
    <w:rsid w:val="00717E35"/>
    <w:rsid w:val="0072063E"/>
    <w:rsid w:val="00721DF3"/>
    <w:rsid w:val="0072325F"/>
    <w:rsid w:val="007234B5"/>
    <w:rsid w:val="00723825"/>
    <w:rsid w:val="00724BDB"/>
    <w:rsid w:val="00724D67"/>
    <w:rsid w:val="00726B01"/>
    <w:rsid w:val="00726B5D"/>
    <w:rsid w:val="00727DED"/>
    <w:rsid w:val="007303CE"/>
    <w:rsid w:val="00730566"/>
    <w:rsid w:val="007307C6"/>
    <w:rsid w:val="007307EE"/>
    <w:rsid w:val="0073127F"/>
    <w:rsid w:val="0073266D"/>
    <w:rsid w:val="00734C74"/>
    <w:rsid w:val="0073557A"/>
    <w:rsid w:val="007366AC"/>
    <w:rsid w:val="00737320"/>
    <w:rsid w:val="00740E2A"/>
    <w:rsid w:val="00741872"/>
    <w:rsid w:val="0074295D"/>
    <w:rsid w:val="00745918"/>
    <w:rsid w:val="007459CE"/>
    <w:rsid w:val="00746769"/>
    <w:rsid w:val="0075020F"/>
    <w:rsid w:val="0075091F"/>
    <w:rsid w:val="007553D5"/>
    <w:rsid w:val="00755CB3"/>
    <w:rsid w:val="00761C3C"/>
    <w:rsid w:val="007645EC"/>
    <w:rsid w:val="00765CCD"/>
    <w:rsid w:val="0077232C"/>
    <w:rsid w:val="007731EE"/>
    <w:rsid w:val="007740D2"/>
    <w:rsid w:val="007749BF"/>
    <w:rsid w:val="00776079"/>
    <w:rsid w:val="00777929"/>
    <w:rsid w:val="00782DF4"/>
    <w:rsid w:val="00783453"/>
    <w:rsid w:val="00784569"/>
    <w:rsid w:val="00784BEC"/>
    <w:rsid w:val="007856C8"/>
    <w:rsid w:val="00791502"/>
    <w:rsid w:val="007915FA"/>
    <w:rsid w:val="007917F9"/>
    <w:rsid w:val="00794CA6"/>
    <w:rsid w:val="0079522D"/>
    <w:rsid w:val="00795AC4"/>
    <w:rsid w:val="00796D8B"/>
    <w:rsid w:val="00797889"/>
    <w:rsid w:val="007A1C45"/>
    <w:rsid w:val="007A42B5"/>
    <w:rsid w:val="007A567D"/>
    <w:rsid w:val="007A7138"/>
    <w:rsid w:val="007A76B3"/>
    <w:rsid w:val="007A7A85"/>
    <w:rsid w:val="007B2449"/>
    <w:rsid w:val="007B5860"/>
    <w:rsid w:val="007B5D96"/>
    <w:rsid w:val="007C312F"/>
    <w:rsid w:val="007C768F"/>
    <w:rsid w:val="007D0606"/>
    <w:rsid w:val="007D20CA"/>
    <w:rsid w:val="007D2421"/>
    <w:rsid w:val="007D319A"/>
    <w:rsid w:val="007D3F37"/>
    <w:rsid w:val="007D49A1"/>
    <w:rsid w:val="007D529D"/>
    <w:rsid w:val="007D731E"/>
    <w:rsid w:val="007E0061"/>
    <w:rsid w:val="007E0C0C"/>
    <w:rsid w:val="007E23DA"/>
    <w:rsid w:val="007E3AC9"/>
    <w:rsid w:val="007E4E4D"/>
    <w:rsid w:val="007E6482"/>
    <w:rsid w:val="007E6C6C"/>
    <w:rsid w:val="007E75D8"/>
    <w:rsid w:val="007E77A2"/>
    <w:rsid w:val="007F1092"/>
    <w:rsid w:val="007F735E"/>
    <w:rsid w:val="008010D8"/>
    <w:rsid w:val="0080343B"/>
    <w:rsid w:val="00803728"/>
    <w:rsid w:val="00804464"/>
    <w:rsid w:val="00805AC6"/>
    <w:rsid w:val="00810176"/>
    <w:rsid w:val="008111F2"/>
    <w:rsid w:val="0081128E"/>
    <w:rsid w:val="008117C9"/>
    <w:rsid w:val="00813DAB"/>
    <w:rsid w:val="00816A91"/>
    <w:rsid w:val="00821214"/>
    <w:rsid w:val="0082247B"/>
    <w:rsid w:val="00822855"/>
    <w:rsid w:val="0082498F"/>
    <w:rsid w:val="008256CD"/>
    <w:rsid w:val="00826C33"/>
    <w:rsid w:val="00826D16"/>
    <w:rsid w:val="0082773D"/>
    <w:rsid w:val="00830753"/>
    <w:rsid w:val="00830B4E"/>
    <w:rsid w:val="00831053"/>
    <w:rsid w:val="008310DC"/>
    <w:rsid w:val="00832FF0"/>
    <w:rsid w:val="00833B64"/>
    <w:rsid w:val="00833E0E"/>
    <w:rsid w:val="00842C7A"/>
    <w:rsid w:val="008464AB"/>
    <w:rsid w:val="00847087"/>
    <w:rsid w:val="0084715B"/>
    <w:rsid w:val="0085244A"/>
    <w:rsid w:val="008553AF"/>
    <w:rsid w:val="00857963"/>
    <w:rsid w:val="00862E37"/>
    <w:rsid w:val="0086486A"/>
    <w:rsid w:val="00865908"/>
    <w:rsid w:val="00867548"/>
    <w:rsid w:val="0087179F"/>
    <w:rsid w:val="008727EB"/>
    <w:rsid w:val="008818CD"/>
    <w:rsid w:val="008846E4"/>
    <w:rsid w:val="00885899"/>
    <w:rsid w:val="00886FE5"/>
    <w:rsid w:val="00891517"/>
    <w:rsid w:val="00891633"/>
    <w:rsid w:val="00891838"/>
    <w:rsid w:val="00894175"/>
    <w:rsid w:val="00895828"/>
    <w:rsid w:val="008961CA"/>
    <w:rsid w:val="00897003"/>
    <w:rsid w:val="008978B2"/>
    <w:rsid w:val="00897B63"/>
    <w:rsid w:val="008A1DED"/>
    <w:rsid w:val="008A50E5"/>
    <w:rsid w:val="008A5DE8"/>
    <w:rsid w:val="008A6605"/>
    <w:rsid w:val="008A663A"/>
    <w:rsid w:val="008A6717"/>
    <w:rsid w:val="008A6785"/>
    <w:rsid w:val="008B00AD"/>
    <w:rsid w:val="008B3F02"/>
    <w:rsid w:val="008B5E29"/>
    <w:rsid w:val="008C19DB"/>
    <w:rsid w:val="008C4570"/>
    <w:rsid w:val="008C4B52"/>
    <w:rsid w:val="008C4F81"/>
    <w:rsid w:val="008C540A"/>
    <w:rsid w:val="008C5763"/>
    <w:rsid w:val="008C5E34"/>
    <w:rsid w:val="008C7770"/>
    <w:rsid w:val="008D7275"/>
    <w:rsid w:val="008D7A4C"/>
    <w:rsid w:val="008E03E7"/>
    <w:rsid w:val="008E0FFF"/>
    <w:rsid w:val="008E11B1"/>
    <w:rsid w:val="008E2379"/>
    <w:rsid w:val="008E398F"/>
    <w:rsid w:val="008E4F9D"/>
    <w:rsid w:val="008F25AD"/>
    <w:rsid w:val="008F4D54"/>
    <w:rsid w:val="008F50BE"/>
    <w:rsid w:val="008F7519"/>
    <w:rsid w:val="00903504"/>
    <w:rsid w:val="00903817"/>
    <w:rsid w:val="00904265"/>
    <w:rsid w:val="00905591"/>
    <w:rsid w:val="009059C6"/>
    <w:rsid w:val="00913C59"/>
    <w:rsid w:val="0091472A"/>
    <w:rsid w:val="00915E50"/>
    <w:rsid w:val="00916B0B"/>
    <w:rsid w:val="00916B3C"/>
    <w:rsid w:val="00916FD9"/>
    <w:rsid w:val="009212A5"/>
    <w:rsid w:val="00924D86"/>
    <w:rsid w:val="00925F06"/>
    <w:rsid w:val="00926A40"/>
    <w:rsid w:val="009303CA"/>
    <w:rsid w:val="0093113D"/>
    <w:rsid w:val="00931B54"/>
    <w:rsid w:val="0093382B"/>
    <w:rsid w:val="00933C27"/>
    <w:rsid w:val="00935DF6"/>
    <w:rsid w:val="00936838"/>
    <w:rsid w:val="009369F4"/>
    <w:rsid w:val="0093726D"/>
    <w:rsid w:val="00937EB6"/>
    <w:rsid w:val="0094112B"/>
    <w:rsid w:val="0094581E"/>
    <w:rsid w:val="00946040"/>
    <w:rsid w:val="009476ED"/>
    <w:rsid w:val="00947CDA"/>
    <w:rsid w:val="0095477B"/>
    <w:rsid w:val="0095566F"/>
    <w:rsid w:val="00955E3F"/>
    <w:rsid w:val="00955F72"/>
    <w:rsid w:val="00962ADD"/>
    <w:rsid w:val="00962F2E"/>
    <w:rsid w:val="009639DB"/>
    <w:rsid w:val="00965935"/>
    <w:rsid w:val="00973490"/>
    <w:rsid w:val="00973AA4"/>
    <w:rsid w:val="00974A1D"/>
    <w:rsid w:val="009761EC"/>
    <w:rsid w:val="00977092"/>
    <w:rsid w:val="009821DB"/>
    <w:rsid w:val="0098275F"/>
    <w:rsid w:val="009836C7"/>
    <w:rsid w:val="009848C3"/>
    <w:rsid w:val="00987242"/>
    <w:rsid w:val="009872A4"/>
    <w:rsid w:val="00990DDD"/>
    <w:rsid w:val="00991EA3"/>
    <w:rsid w:val="00991FD8"/>
    <w:rsid w:val="00992367"/>
    <w:rsid w:val="00993A85"/>
    <w:rsid w:val="00994AF5"/>
    <w:rsid w:val="00995F54"/>
    <w:rsid w:val="00996401"/>
    <w:rsid w:val="00997863"/>
    <w:rsid w:val="00997BF8"/>
    <w:rsid w:val="009A013A"/>
    <w:rsid w:val="009A0F17"/>
    <w:rsid w:val="009A1E58"/>
    <w:rsid w:val="009A4430"/>
    <w:rsid w:val="009A4F09"/>
    <w:rsid w:val="009A6DA2"/>
    <w:rsid w:val="009B11B4"/>
    <w:rsid w:val="009B26EB"/>
    <w:rsid w:val="009B39DA"/>
    <w:rsid w:val="009B46F3"/>
    <w:rsid w:val="009B4E39"/>
    <w:rsid w:val="009C2D6F"/>
    <w:rsid w:val="009C2F4A"/>
    <w:rsid w:val="009C5980"/>
    <w:rsid w:val="009C5D3A"/>
    <w:rsid w:val="009C6B9E"/>
    <w:rsid w:val="009D54B6"/>
    <w:rsid w:val="009D5AF0"/>
    <w:rsid w:val="009D6F1D"/>
    <w:rsid w:val="009D76CC"/>
    <w:rsid w:val="009E13DB"/>
    <w:rsid w:val="009E3106"/>
    <w:rsid w:val="009E382E"/>
    <w:rsid w:val="009E4978"/>
    <w:rsid w:val="009E5DA6"/>
    <w:rsid w:val="009E6785"/>
    <w:rsid w:val="009E7535"/>
    <w:rsid w:val="009F1CDA"/>
    <w:rsid w:val="009F4667"/>
    <w:rsid w:val="009F5967"/>
    <w:rsid w:val="009F6058"/>
    <w:rsid w:val="009F69A0"/>
    <w:rsid w:val="00A024BF"/>
    <w:rsid w:val="00A04760"/>
    <w:rsid w:val="00A05CFB"/>
    <w:rsid w:val="00A0771D"/>
    <w:rsid w:val="00A122CC"/>
    <w:rsid w:val="00A138C9"/>
    <w:rsid w:val="00A13C35"/>
    <w:rsid w:val="00A13E5A"/>
    <w:rsid w:val="00A21CB7"/>
    <w:rsid w:val="00A2682B"/>
    <w:rsid w:val="00A31806"/>
    <w:rsid w:val="00A3236E"/>
    <w:rsid w:val="00A3272D"/>
    <w:rsid w:val="00A378C7"/>
    <w:rsid w:val="00A44A2E"/>
    <w:rsid w:val="00A47B69"/>
    <w:rsid w:val="00A5033D"/>
    <w:rsid w:val="00A528B3"/>
    <w:rsid w:val="00A5410F"/>
    <w:rsid w:val="00A5438A"/>
    <w:rsid w:val="00A5528C"/>
    <w:rsid w:val="00A57A3B"/>
    <w:rsid w:val="00A608A4"/>
    <w:rsid w:val="00A61B2D"/>
    <w:rsid w:val="00A627A9"/>
    <w:rsid w:val="00A7183D"/>
    <w:rsid w:val="00A71A5F"/>
    <w:rsid w:val="00A72162"/>
    <w:rsid w:val="00A72399"/>
    <w:rsid w:val="00A729B6"/>
    <w:rsid w:val="00A72C2D"/>
    <w:rsid w:val="00A72E66"/>
    <w:rsid w:val="00A774C5"/>
    <w:rsid w:val="00A815FD"/>
    <w:rsid w:val="00A8202B"/>
    <w:rsid w:val="00A83A30"/>
    <w:rsid w:val="00A86561"/>
    <w:rsid w:val="00A86AF1"/>
    <w:rsid w:val="00A9152E"/>
    <w:rsid w:val="00A94316"/>
    <w:rsid w:val="00A95541"/>
    <w:rsid w:val="00A965E6"/>
    <w:rsid w:val="00AA1CC0"/>
    <w:rsid w:val="00AA2AA9"/>
    <w:rsid w:val="00AA5CC2"/>
    <w:rsid w:val="00AA76AD"/>
    <w:rsid w:val="00AB17F7"/>
    <w:rsid w:val="00AB199C"/>
    <w:rsid w:val="00AB3D83"/>
    <w:rsid w:val="00AB420D"/>
    <w:rsid w:val="00AB545B"/>
    <w:rsid w:val="00AB55F6"/>
    <w:rsid w:val="00AB6E56"/>
    <w:rsid w:val="00AC0232"/>
    <w:rsid w:val="00AC0653"/>
    <w:rsid w:val="00AC1949"/>
    <w:rsid w:val="00AD1038"/>
    <w:rsid w:val="00AD3630"/>
    <w:rsid w:val="00AD5388"/>
    <w:rsid w:val="00AD5406"/>
    <w:rsid w:val="00AE2422"/>
    <w:rsid w:val="00AE2AD0"/>
    <w:rsid w:val="00AE6E4E"/>
    <w:rsid w:val="00AE77E7"/>
    <w:rsid w:val="00AF2253"/>
    <w:rsid w:val="00AF28FD"/>
    <w:rsid w:val="00AF34FB"/>
    <w:rsid w:val="00AF40C9"/>
    <w:rsid w:val="00B007FD"/>
    <w:rsid w:val="00B00F49"/>
    <w:rsid w:val="00B0404A"/>
    <w:rsid w:val="00B06994"/>
    <w:rsid w:val="00B07511"/>
    <w:rsid w:val="00B11FEA"/>
    <w:rsid w:val="00B122A6"/>
    <w:rsid w:val="00B151D0"/>
    <w:rsid w:val="00B230B0"/>
    <w:rsid w:val="00B262F5"/>
    <w:rsid w:val="00B26F0A"/>
    <w:rsid w:val="00B27A28"/>
    <w:rsid w:val="00B313A3"/>
    <w:rsid w:val="00B337B5"/>
    <w:rsid w:val="00B372BB"/>
    <w:rsid w:val="00B37C29"/>
    <w:rsid w:val="00B4212F"/>
    <w:rsid w:val="00B44982"/>
    <w:rsid w:val="00B45299"/>
    <w:rsid w:val="00B47EF4"/>
    <w:rsid w:val="00B54EE2"/>
    <w:rsid w:val="00B55345"/>
    <w:rsid w:val="00B55FFD"/>
    <w:rsid w:val="00B602BE"/>
    <w:rsid w:val="00B62565"/>
    <w:rsid w:val="00B64A48"/>
    <w:rsid w:val="00B64AD0"/>
    <w:rsid w:val="00B65C96"/>
    <w:rsid w:val="00B65F59"/>
    <w:rsid w:val="00B66AED"/>
    <w:rsid w:val="00B72FF2"/>
    <w:rsid w:val="00B7399C"/>
    <w:rsid w:val="00B74DDF"/>
    <w:rsid w:val="00B80D68"/>
    <w:rsid w:val="00B82041"/>
    <w:rsid w:val="00B84503"/>
    <w:rsid w:val="00B85161"/>
    <w:rsid w:val="00B85B4B"/>
    <w:rsid w:val="00B871B2"/>
    <w:rsid w:val="00B90175"/>
    <w:rsid w:val="00B90523"/>
    <w:rsid w:val="00B90A8A"/>
    <w:rsid w:val="00B9113A"/>
    <w:rsid w:val="00B927F0"/>
    <w:rsid w:val="00B933BD"/>
    <w:rsid w:val="00B96815"/>
    <w:rsid w:val="00B970BC"/>
    <w:rsid w:val="00BA0088"/>
    <w:rsid w:val="00BA2341"/>
    <w:rsid w:val="00BA31C9"/>
    <w:rsid w:val="00BA32E7"/>
    <w:rsid w:val="00BA4649"/>
    <w:rsid w:val="00BA55D5"/>
    <w:rsid w:val="00BA68EC"/>
    <w:rsid w:val="00BA75AD"/>
    <w:rsid w:val="00BA786B"/>
    <w:rsid w:val="00BB2669"/>
    <w:rsid w:val="00BC1288"/>
    <w:rsid w:val="00BC1D2F"/>
    <w:rsid w:val="00BC2DD6"/>
    <w:rsid w:val="00BC2F4C"/>
    <w:rsid w:val="00BC37BF"/>
    <w:rsid w:val="00BC388D"/>
    <w:rsid w:val="00BC670C"/>
    <w:rsid w:val="00BC7B1E"/>
    <w:rsid w:val="00BC7C46"/>
    <w:rsid w:val="00BD05F0"/>
    <w:rsid w:val="00BD18A7"/>
    <w:rsid w:val="00BD5C06"/>
    <w:rsid w:val="00BD776D"/>
    <w:rsid w:val="00BD785C"/>
    <w:rsid w:val="00BE13A2"/>
    <w:rsid w:val="00BE346D"/>
    <w:rsid w:val="00BE3A82"/>
    <w:rsid w:val="00BE4669"/>
    <w:rsid w:val="00BE693A"/>
    <w:rsid w:val="00BF5FE3"/>
    <w:rsid w:val="00BF6E4A"/>
    <w:rsid w:val="00C01E94"/>
    <w:rsid w:val="00C0269A"/>
    <w:rsid w:val="00C0442B"/>
    <w:rsid w:val="00C04B48"/>
    <w:rsid w:val="00C05A9D"/>
    <w:rsid w:val="00C06BB3"/>
    <w:rsid w:val="00C06C2A"/>
    <w:rsid w:val="00C11CD9"/>
    <w:rsid w:val="00C11E62"/>
    <w:rsid w:val="00C120AE"/>
    <w:rsid w:val="00C12AEC"/>
    <w:rsid w:val="00C136A4"/>
    <w:rsid w:val="00C159E6"/>
    <w:rsid w:val="00C1699F"/>
    <w:rsid w:val="00C220BF"/>
    <w:rsid w:val="00C22D7C"/>
    <w:rsid w:val="00C22F36"/>
    <w:rsid w:val="00C24445"/>
    <w:rsid w:val="00C2478D"/>
    <w:rsid w:val="00C25332"/>
    <w:rsid w:val="00C32545"/>
    <w:rsid w:val="00C34260"/>
    <w:rsid w:val="00C344C1"/>
    <w:rsid w:val="00C3693D"/>
    <w:rsid w:val="00C36F43"/>
    <w:rsid w:val="00C422E5"/>
    <w:rsid w:val="00C43A01"/>
    <w:rsid w:val="00C44C2D"/>
    <w:rsid w:val="00C46F90"/>
    <w:rsid w:val="00C52237"/>
    <w:rsid w:val="00C52C79"/>
    <w:rsid w:val="00C54326"/>
    <w:rsid w:val="00C55F8E"/>
    <w:rsid w:val="00C55FAC"/>
    <w:rsid w:val="00C63843"/>
    <w:rsid w:val="00C64A7B"/>
    <w:rsid w:val="00C74E56"/>
    <w:rsid w:val="00C75028"/>
    <w:rsid w:val="00C752EA"/>
    <w:rsid w:val="00C75AAC"/>
    <w:rsid w:val="00C766BD"/>
    <w:rsid w:val="00C7790B"/>
    <w:rsid w:val="00C81763"/>
    <w:rsid w:val="00C830F4"/>
    <w:rsid w:val="00C83A22"/>
    <w:rsid w:val="00C8426A"/>
    <w:rsid w:val="00C85B2A"/>
    <w:rsid w:val="00C85F55"/>
    <w:rsid w:val="00C91EB6"/>
    <w:rsid w:val="00C93389"/>
    <w:rsid w:val="00C97760"/>
    <w:rsid w:val="00CA2A7B"/>
    <w:rsid w:val="00CA412D"/>
    <w:rsid w:val="00CA4916"/>
    <w:rsid w:val="00CA5B54"/>
    <w:rsid w:val="00CB00DC"/>
    <w:rsid w:val="00CB5D5B"/>
    <w:rsid w:val="00CB6517"/>
    <w:rsid w:val="00CC04CE"/>
    <w:rsid w:val="00CC13D1"/>
    <w:rsid w:val="00CC22F2"/>
    <w:rsid w:val="00CC4334"/>
    <w:rsid w:val="00CC63F0"/>
    <w:rsid w:val="00CC687B"/>
    <w:rsid w:val="00CD3112"/>
    <w:rsid w:val="00CD51CB"/>
    <w:rsid w:val="00CE08AA"/>
    <w:rsid w:val="00CE13C6"/>
    <w:rsid w:val="00CE191C"/>
    <w:rsid w:val="00CE2607"/>
    <w:rsid w:val="00CE4074"/>
    <w:rsid w:val="00CE6C49"/>
    <w:rsid w:val="00CE7FFC"/>
    <w:rsid w:val="00CF0C40"/>
    <w:rsid w:val="00CF1C6A"/>
    <w:rsid w:val="00CF31EE"/>
    <w:rsid w:val="00D01088"/>
    <w:rsid w:val="00D016D5"/>
    <w:rsid w:val="00D04F2D"/>
    <w:rsid w:val="00D06C31"/>
    <w:rsid w:val="00D115D4"/>
    <w:rsid w:val="00D11797"/>
    <w:rsid w:val="00D12CA6"/>
    <w:rsid w:val="00D12E8D"/>
    <w:rsid w:val="00D13A47"/>
    <w:rsid w:val="00D1765F"/>
    <w:rsid w:val="00D17E4E"/>
    <w:rsid w:val="00D17FE3"/>
    <w:rsid w:val="00D20F3C"/>
    <w:rsid w:val="00D217EC"/>
    <w:rsid w:val="00D236BC"/>
    <w:rsid w:val="00D31A4D"/>
    <w:rsid w:val="00D31EBF"/>
    <w:rsid w:val="00D340B8"/>
    <w:rsid w:val="00D3478F"/>
    <w:rsid w:val="00D3516B"/>
    <w:rsid w:val="00D369E7"/>
    <w:rsid w:val="00D37AAE"/>
    <w:rsid w:val="00D408DD"/>
    <w:rsid w:val="00D40C00"/>
    <w:rsid w:val="00D419B9"/>
    <w:rsid w:val="00D42DEC"/>
    <w:rsid w:val="00D463AB"/>
    <w:rsid w:val="00D47BB8"/>
    <w:rsid w:val="00D47DA4"/>
    <w:rsid w:val="00D5170F"/>
    <w:rsid w:val="00D5255F"/>
    <w:rsid w:val="00D534F0"/>
    <w:rsid w:val="00D53C70"/>
    <w:rsid w:val="00D55E75"/>
    <w:rsid w:val="00D630B7"/>
    <w:rsid w:val="00D640DC"/>
    <w:rsid w:val="00D73183"/>
    <w:rsid w:val="00D741A6"/>
    <w:rsid w:val="00D7484D"/>
    <w:rsid w:val="00D84383"/>
    <w:rsid w:val="00D8461B"/>
    <w:rsid w:val="00D86D32"/>
    <w:rsid w:val="00D93C73"/>
    <w:rsid w:val="00D9415E"/>
    <w:rsid w:val="00D942B2"/>
    <w:rsid w:val="00D97B96"/>
    <w:rsid w:val="00DA4698"/>
    <w:rsid w:val="00DA4EB0"/>
    <w:rsid w:val="00DA542A"/>
    <w:rsid w:val="00DA6454"/>
    <w:rsid w:val="00DA672B"/>
    <w:rsid w:val="00DA6D3A"/>
    <w:rsid w:val="00DA79F6"/>
    <w:rsid w:val="00DB2D70"/>
    <w:rsid w:val="00DB3715"/>
    <w:rsid w:val="00DB3B2F"/>
    <w:rsid w:val="00DB66D0"/>
    <w:rsid w:val="00DC4713"/>
    <w:rsid w:val="00DD2AE1"/>
    <w:rsid w:val="00DD66F9"/>
    <w:rsid w:val="00DD6DDA"/>
    <w:rsid w:val="00DE0D1E"/>
    <w:rsid w:val="00DE1574"/>
    <w:rsid w:val="00DE1C9D"/>
    <w:rsid w:val="00DE1DFD"/>
    <w:rsid w:val="00DE268B"/>
    <w:rsid w:val="00DE4D93"/>
    <w:rsid w:val="00DE6279"/>
    <w:rsid w:val="00DF3697"/>
    <w:rsid w:val="00DF3DA5"/>
    <w:rsid w:val="00E03230"/>
    <w:rsid w:val="00E05310"/>
    <w:rsid w:val="00E05363"/>
    <w:rsid w:val="00E064D0"/>
    <w:rsid w:val="00E070B4"/>
    <w:rsid w:val="00E115C9"/>
    <w:rsid w:val="00E14D4A"/>
    <w:rsid w:val="00E15B25"/>
    <w:rsid w:val="00E1680D"/>
    <w:rsid w:val="00E172ED"/>
    <w:rsid w:val="00E21413"/>
    <w:rsid w:val="00E2144E"/>
    <w:rsid w:val="00E2174D"/>
    <w:rsid w:val="00E25280"/>
    <w:rsid w:val="00E252E1"/>
    <w:rsid w:val="00E25345"/>
    <w:rsid w:val="00E30469"/>
    <w:rsid w:val="00E338DA"/>
    <w:rsid w:val="00E34BCC"/>
    <w:rsid w:val="00E359F8"/>
    <w:rsid w:val="00E42576"/>
    <w:rsid w:val="00E44E2C"/>
    <w:rsid w:val="00E47667"/>
    <w:rsid w:val="00E548C9"/>
    <w:rsid w:val="00E55664"/>
    <w:rsid w:val="00E572E0"/>
    <w:rsid w:val="00E60FFF"/>
    <w:rsid w:val="00E64320"/>
    <w:rsid w:val="00E66A6A"/>
    <w:rsid w:val="00E66C69"/>
    <w:rsid w:val="00E67037"/>
    <w:rsid w:val="00E7045B"/>
    <w:rsid w:val="00E716B6"/>
    <w:rsid w:val="00E73E04"/>
    <w:rsid w:val="00E7503E"/>
    <w:rsid w:val="00E77393"/>
    <w:rsid w:val="00E77D5C"/>
    <w:rsid w:val="00E80212"/>
    <w:rsid w:val="00E80E38"/>
    <w:rsid w:val="00E829EE"/>
    <w:rsid w:val="00E84968"/>
    <w:rsid w:val="00E85218"/>
    <w:rsid w:val="00E86C0E"/>
    <w:rsid w:val="00E8736C"/>
    <w:rsid w:val="00E87F61"/>
    <w:rsid w:val="00E9329C"/>
    <w:rsid w:val="00E94936"/>
    <w:rsid w:val="00E9502F"/>
    <w:rsid w:val="00E961D3"/>
    <w:rsid w:val="00E96640"/>
    <w:rsid w:val="00EA4D12"/>
    <w:rsid w:val="00EA4D36"/>
    <w:rsid w:val="00EA6BB8"/>
    <w:rsid w:val="00EB018F"/>
    <w:rsid w:val="00EB0A81"/>
    <w:rsid w:val="00EB0FAF"/>
    <w:rsid w:val="00EB3FD8"/>
    <w:rsid w:val="00EB76B6"/>
    <w:rsid w:val="00EC1829"/>
    <w:rsid w:val="00EC1E85"/>
    <w:rsid w:val="00EC1F4E"/>
    <w:rsid w:val="00EC230A"/>
    <w:rsid w:val="00EC42DC"/>
    <w:rsid w:val="00EC4381"/>
    <w:rsid w:val="00EC4D5B"/>
    <w:rsid w:val="00EC65AD"/>
    <w:rsid w:val="00EC6F7E"/>
    <w:rsid w:val="00ED0733"/>
    <w:rsid w:val="00ED1EFD"/>
    <w:rsid w:val="00ED2718"/>
    <w:rsid w:val="00ED2FE2"/>
    <w:rsid w:val="00ED30B8"/>
    <w:rsid w:val="00ED484E"/>
    <w:rsid w:val="00ED6F38"/>
    <w:rsid w:val="00EE1EBA"/>
    <w:rsid w:val="00EE406B"/>
    <w:rsid w:val="00EE423B"/>
    <w:rsid w:val="00EE462B"/>
    <w:rsid w:val="00EE57E6"/>
    <w:rsid w:val="00EE633B"/>
    <w:rsid w:val="00EF1941"/>
    <w:rsid w:val="00EF2EF8"/>
    <w:rsid w:val="00EF4164"/>
    <w:rsid w:val="00F028B4"/>
    <w:rsid w:val="00F06EDB"/>
    <w:rsid w:val="00F07CCD"/>
    <w:rsid w:val="00F10E61"/>
    <w:rsid w:val="00F1225E"/>
    <w:rsid w:val="00F168FA"/>
    <w:rsid w:val="00F21C7D"/>
    <w:rsid w:val="00F21DA5"/>
    <w:rsid w:val="00F23713"/>
    <w:rsid w:val="00F26ED9"/>
    <w:rsid w:val="00F2795D"/>
    <w:rsid w:val="00F27C64"/>
    <w:rsid w:val="00F37EFD"/>
    <w:rsid w:val="00F422B4"/>
    <w:rsid w:val="00F43190"/>
    <w:rsid w:val="00F43E6E"/>
    <w:rsid w:val="00F44F1B"/>
    <w:rsid w:val="00F44FC6"/>
    <w:rsid w:val="00F46622"/>
    <w:rsid w:val="00F4784C"/>
    <w:rsid w:val="00F56228"/>
    <w:rsid w:val="00F603C5"/>
    <w:rsid w:val="00F62F59"/>
    <w:rsid w:val="00F648BD"/>
    <w:rsid w:val="00F65870"/>
    <w:rsid w:val="00F663B7"/>
    <w:rsid w:val="00F669D7"/>
    <w:rsid w:val="00F67380"/>
    <w:rsid w:val="00F70DEA"/>
    <w:rsid w:val="00F741F5"/>
    <w:rsid w:val="00F809B8"/>
    <w:rsid w:val="00F81191"/>
    <w:rsid w:val="00F82C63"/>
    <w:rsid w:val="00F92808"/>
    <w:rsid w:val="00F934C0"/>
    <w:rsid w:val="00F93DAD"/>
    <w:rsid w:val="00F942E5"/>
    <w:rsid w:val="00F95FC7"/>
    <w:rsid w:val="00FA0404"/>
    <w:rsid w:val="00FA06EA"/>
    <w:rsid w:val="00FA250C"/>
    <w:rsid w:val="00FA2B29"/>
    <w:rsid w:val="00FA2C89"/>
    <w:rsid w:val="00FA5492"/>
    <w:rsid w:val="00FA5987"/>
    <w:rsid w:val="00FA5CB1"/>
    <w:rsid w:val="00FB0600"/>
    <w:rsid w:val="00FB50D9"/>
    <w:rsid w:val="00FC0D0A"/>
    <w:rsid w:val="00FC1C63"/>
    <w:rsid w:val="00FC57FE"/>
    <w:rsid w:val="00FD00E7"/>
    <w:rsid w:val="00FD0BD2"/>
    <w:rsid w:val="00FD2494"/>
    <w:rsid w:val="00FD57B8"/>
    <w:rsid w:val="00FD5B0B"/>
    <w:rsid w:val="00FE0C86"/>
    <w:rsid w:val="00FE10DD"/>
    <w:rsid w:val="00FE13EE"/>
    <w:rsid w:val="00FE5B56"/>
    <w:rsid w:val="00FE5B81"/>
    <w:rsid w:val="00FE6300"/>
    <w:rsid w:val="00FE65D8"/>
    <w:rsid w:val="00FF07FF"/>
    <w:rsid w:val="00FF2C59"/>
    <w:rsid w:val="01A4AAE9"/>
    <w:rsid w:val="02E61E61"/>
    <w:rsid w:val="04479C49"/>
    <w:rsid w:val="04D294DA"/>
    <w:rsid w:val="0518F29D"/>
    <w:rsid w:val="09EE7FA0"/>
    <w:rsid w:val="0BADB179"/>
    <w:rsid w:val="0D667519"/>
    <w:rsid w:val="0DBB45CC"/>
    <w:rsid w:val="106A9105"/>
    <w:rsid w:val="14AF3569"/>
    <w:rsid w:val="14BEB7DB"/>
    <w:rsid w:val="15AC9A9E"/>
    <w:rsid w:val="15F0D232"/>
    <w:rsid w:val="16C4F37B"/>
    <w:rsid w:val="16D785B3"/>
    <w:rsid w:val="176E3999"/>
    <w:rsid w:val="185D416A"/>
    <w:rsid w:val="1AD8AF13"/>
    <w:rsid w:val="1FB52186"/>
    <w:rsid w:val="22CA6AB5"/>
    <w:rsid w:val="252AB716"/>
    <w:rsid w:val="27D214CE"/>
    <w:rsid w:val="27FEDD67"/>
    <w:rsid w:val="2826D0E5"/>
    <w:rsid w:val="298FE16A"/>
    <w:rsid w:val="29CBFF0A"/>
    <w:rsid w:val="2A5EB61B"/>
    <w:rsid w:val="2A90F123"/>
    <w:rsid w:val="2AF0B0C5"/>
    <w:rsid w:val="2CB1A860"/>
    <w:rsid w:val="318D4F25"/>
    <w:rsid w:val="328C786A"/>
    <w:rsid w:val="3292737E"/>
    <w:rsid w:val="33612CA0"/>
    <w:rsid w:val="33968661"/>
    <w:rsid w:val="3556FCDF"/>
    <w:rsid w:val="390DD1DD"/>
    <w:rsid w:val="3A3D3246"/>
    <w:rsid w:val="3A4E7AEB"/>
    <w:rsid w:val="3A82AD40"/>
    <w:rsid w:val="3AA42C46"/>
    <w:rsid w:val="3CEBD020"/>
    <w:rsid w:val="3F03FAE6"/>
    <w:rsid w:val="400C6746"/>
    <w:rsid w:val="403AA66F"/>
    <w:rsid w:val="41EC4E40"/>
    <w:rsid w:val="42018653"/>
    <w:rsid w:val="420C8E39"/>
    <w:rsid w:val="4409B2D7"/>
    <w:rsid w:val="457CC991"/>
    <w:rsid w:val="4AC92C48"/>
    <w:rsid w:val="4C05CD3E"/>
    <w:rsid w:val="4C35F996"/>
    <w:rsid w:val="4E33BD23"/>
    <w:rsid w:val="501772F5"/>
    <w:rsid w:val="502F8CA0"/>
    <w:rsid w:val="50CC810F"/>
    <w:rsid w:val="51BB3D59"/>
    <w:rsid w:val="5462F0FF"/>
    <w:rsid w:val="54C69138"/>
    <w:rsid w:val="570ED978"/>
    <w:rsid w:val="58CB2181"/>
    <w:rsid w:val="59984114"/>
    <w:rsid w:val="59ABD6E0"/>
    <w:rsid w:val="5C64E063"/>
    <w:rsid w:val="5FFDEFAF"/>
    <w:rsid w:val="6068242C"/>
    <w:rsid w:val="609150D6"/>
    <w:rsid w:val="6182EE9D"/>
    <w:rsid w:val="6415C956"/>
    <w:rsid w:val="66CE5FEF"/>
    <w:rsid w:val="6A09E1FF"/>
    <w:rsid w:val="6F3333B4"/>
    <w:rsid w:val="6F7AAC82"/>
    <w:rsid w:val="6FB6A3A8"/>
    <w:rsid w:val="7086C28C"/>
    <w:rsid w:val="73AE1B22"/>
    <w:rsid w:val="7678C441"/>
    <w:rsid w:val="767B697D"/>
    <w:rsid w:val="77813FE9"/>
    <w:rsid w:val="788C6E55"/>
    <w:rsid w:val="78C2F6E5"/>
    <w:rsid w:val="7A32C29E"/>
    <w:rsid w:val="7A8F0B1A"/>
    <w:rsid w:val="7AF22CFB"/>
    <w:rsid w:val="7C37E817"/>
    <w:rsid w:val="7DE0083A"/>
    <w:rsid w:val="7E070BF9"/>
    <w:rsid w:val="7F0BDD0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6A040"/>
  <w15:chartTrackingRefBased/>
  <w15:docId w15:val="{BF18E1B6-1964-4ECD-8982-705FE641B0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145E"/>
    <w:pPr>
      <w:spacing w:line="360" w:lineRule="auto"/>
      <w:jc w:val="both"/>
    </w:pPr>
    <w:rPr>
      <w:rFonts w:ascii="Arial" w:hAnsi="Arial"/>
      <w:sz w:val="20"/>
    </w:rPr>
  </w:style>
  <w:style w:type="paragraph" w:styleId="Heading1">
    <w:name w:val="heading 1"/>
    <w:basedOn w:val="Normal"/>
    <w:next w:val="Normal"/>
    <w:link w:val="Heading1Char"/>
    <w:uiPriority w:val="9"/>
    <w:qFormat/>
    <w:rsid w:val="00BC388D"/>
    <w:pPr>
      <w:keepNext/>
      <w:keepLines/>
      <w:spacing w:before="480" w:after="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BC388D"/>
    <w:pPr>
      <w:keepNext/>
      <w:keepLines/>
      <w:spacing w:before="280" w:after="240"/>
      <w:outlineLvl w:val="1"/>
    </w:pPr>
    <w:rPr>
      <w:rFonts w:eastAsiaTheme="majorEastAsia" w:cstheme="majorBidi"/>
      <w:b/>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388D"/>
    <w:rPr>
      <w:rFonts w:ascii="Arial" w:hAnsi="Arial" w:eastAsiaTheme="majorEastAsia" w:cstheme="majorBidi"/>
      <w:b/>
      <w:sz w:val="28"/>
      <w:szCs w:val="32"/>
    </w:rPr>
  </w:style>
  <w:style w:type="character" w:styleId="Heading2Char" w:customStyle="1">
    <w:name w:val="Heading 2 Char"/>
    <w:basedOn w:val="DefaultParagraphFont"/>
    <w:link w:val="Heading2"/>
    <w:uiPriority w:val="9"/>
    <w:rsid w:val="00BC388D"/>
    <w:rPr>
      <w:rFonts w:ascii="Arial" w:hAnsi="Arial" w:eastAsiaTheme="majorEastAsia" w:cstheme="majorBidi"/>
      <w:b/>
      <w:sz w:val="20"/>
      <w:szCs w:val="26"/>
    </w:rPr>
  </w:style>
  <w:style w:type="character" w:styleId="Hyperlink">
    <w:name w:val="Hyperlink"/>
    <w:basedOn w:val="DefaultParagraphFont"/>
    <w:uiPriority w:val="99"/>
    <w:unhideWhenUsed/>
    <w:rsid w:val="00141EBB"/>
    <w:rPr>
      <w:color w:val="0563C1" w:themeColor="hyperlink"/>
      <w:u w:val="single"/>
    </w:rPr>
  </w:style>
  <w:style w:type="paragraph" w:styleId="Header">
    <w:name w:val="header"/>
    <w:basedOn w:val="Normal"/>
    <w:link w:val="HeaderChar"/>
    <w:uiPriority w:val="99"/>
    <w:unhideWhenUsed/>
    <w:rsid w:val="00162362"/>
    <w:pPr>
      <w:tabs>
        <w:tab w:val="center" w:pos="4536"/>
        <w:tab w:val="right" w:pos="9072"/>
      </w:tabs>
      <w:spacing w:after="0" w:line="240" w:lineRule="auto"/>
    </w:pPr>
  </w:style>
  <w:style w:type="character" w:styleId="HeaderChar" w:customStyle="1">
    <w:name w:val="Header Char"/>
    <w:basedOn w:val="DefaultParagraphFont"/>
    <w:link w:val="Header"/>
    <w:uiPriority w:val="99"/>
    <w:rsid w:val="00162362"/>
    <w:rPr>
      <w:rFonts w:ascii="Arial" w:hAnsi="Arial"/>
      <w:sz w:val="20"/>
    </w:rPr>
  </w:style>
  <w:style w:type="paragraph" w:styleId="Footer">
    <w:name w:val="footer"/>
    <w:basedOn w:val="Normal"/>
    <w:link w:val="FooterChar"/>
    <w:uiPriority w:val="99"/>
    <w:unhideWhenUsed/>
    <w:rsid w:val="00162362"/>
    <w:pPr>
      <w:tabs>
        <w:tab w:val="center" w:pos="4536"/>
        <w:tab w:val="right" w:pos="9072"/>
      </w:tabs>
      <w:spacing w:after="0" w:line="240" w:lineRule="auto"/>
    </w:pPr>
  </w:style>
  <w:style w:type="character" w:styleId="FooterChar" w:customStyle="1">
    <w:name w:val="Footer Char"/>
    <w:basedOn w:val="DefaultParagraphFont"/>
    <w:link w:val="Footer"/>
    <w:uiPriority w:val="99"/>
    <w:rsid w:val="00162362"/>
    <w:rPr>
      <w:rFonts w:ascii="Arial" w:hAnsi="Arial"/>
      <w:sz w:val="20"/>
    </w:rPr>
  </w:style>
  <w:style w:type="paragraph" w:styleId="ListParagraph">
    <w:name w:val="List Paragraph"/>
    <w:basedOn w:val="Normal"/>
    <w:uiPriority w:val="34"/>
    <w:qFormat/>
    <w:rsid w:val="00DA4EB0"/>
    <w:pPr>
      <w:ind w:left="720"/>
      <w:contextualSpacing/>
    </w:pPr>
  </w:style>
  <w:style w:type="paragraph" w:styleId="Anstriche" w:customStyle="1">
    <w:name w:val="Anstriche"/>
    <w:basedOn w:val="NoSpacing"/>
    <w:qFormat/>
    <w:rsid w:val="004721D2"/>
    <w:pPr>
      <w:numPr>
        <w:numId w:val="5"/>
      </w:numPr>
      <w:spacing w:after="120"/>
      <w:ind w:left="400"/>
    </w:pPr>
    <w:rPr>
      <w:rFonts w:ascii="Roboto" w:hAnsi="Roboto"/>
      <w:color w:val="333333"/>
      <w:sz w:val="18"/>
      <w:szCs w:val="18"/>
    </w:rPr>
  </w:style>
  <w:style w:type="paragraph" w:styleId="NoSpacing">
    <w:name w:val="No Spacing"/>
    <w:uiPriority w:val="1"/>
    <w:qFormat/>
    <w:rsid w:val="004721D2"/>
    <w:pPr>
      <w:spacing w:after="0" w:line="240" w:lineRule="auto"/>
      <w:jc w:val="both"/>
    </w:pPr>
    <w:rPr>
      <w:rFonts w:ascii="Arial" w:hAnsi="Arial"/>
      <w:sz w:val="20"/>
    </w:rPr>
  </w:style>
  <w:style w:type="character" w:styleId="CommentReference">
    <w:name w:val="annotation reference"/>
    <w:basedOn w:val="DefaultParagraphFont"/>
    <w:uiPriority w:val="99"/>
    <w:semiHidden/>
    <w:unhideWhenUsed/>
    <w:rsid w:val="000517A2"/>
    <w:rPr>
      <w:sz w:val="16"/>
      <w:szCs w:val="16"/>
    </w:rPr>
  </w:style>
  <w:style w:type="paragraph" w:styleId="CommentText">
    <w:name w:val="annotation text"/>
    <w:basedOn w:val="Normal"/>
    <w:link w:val="CommentTextChar"/>
    <w:uiPriority w:val="99"/>
    <w:unhideWhenUsed/>
    <w:rsid w:val="000517A2"/>
    <w:pPr>
      <w:spacing w:line="240" w:lineRule="auto"/>
    </w:pPr>
    <w:rPr>
      <w:szCs w:val="20"/>
    </w:rPr>
  </w:style>
  <w:style w:type="paragraph" w:styleId="Listenabsatz1" w:customStyle="1">
    <w:name w:val="Listenabsatz1"/>
    <w:uiPriority w:val="34"/>
    <w:qFormat/>
    <w:pPr>
      <w:spacing w:line="360" w:lineRule="auto"/>
      <w:ind w:left="720"/>
      <w:contextualSpacing/>
      <w:jc w:val="both"/>
    </w:pPr>
    <w:rPr>
      <w:rFonts w:ascii="Arial" w:hAnsi="Arial"/>
      <w:sz w:val="20"/>
    </w:rPr>
  </w:style>
  <w:style w:type="character" w:styleId="CommentTextChar" w:customStyle="1">
    <w:name w:val="Comment Text Char"/>
    <w:basedOn w:val="DefaultParagraphFont"/>
    <w:link w:val="CommentText"/>
    <w:uiPriority w:val="99"/>
    <w:rsid w:val="000517A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17A2"/>
    <w:rPr>
      <w:b/>
      <w:bCs/>
    </w:rPr>
  </w:style>
  <w:style w:type="character" w:styleId="CommentSubjectChar" w:customStyle="1">
    <w:name w:val="Comment Subject Char"/>
    <w:basedOn w:val="CommentTextChar"/>
    <w:link w:val="CommentSubject"/>
    <w:uiPriority w:val="99"/>
    <w:semiHidden/>
    <w:rsid w:val="000517A2"/>
    <w:rPr>
      <w:rFonts w:ascii="Arial" w:hAnsi="Arial"/>
      <w:b/>
      <w:bCs/>
      <w:sz w:val="20"/>
      <w:szCs w:val="20"/>
    </w:rPr>
  </w:style>
  <w:style w:type="paragraph" w:styleId="Revision">
    <w:name w:val="Revision"/>
    <w:hidden/>
    <w:uiPriority w:val="99"/>
    <w:semiHidden/>
    <w:rsid w:val="000517A2"/>
    <w:pPr>
      <w:spacing w:after="0" w:line="240" w:lineRule="auto"/>
    </w:pPr>
    <w:rPr>
      <w:rFonts w:ascii="Arial" w:hAnsi="Arial"/>
      <w:sz w:val="20"/>
    </w:rPr>
  </w:style>
  <w:style w:type="character" w:styleId="Mention">
    <w:name w:val="Mention"/>
    <w:basedOn w:val="DefaultParagraphFont"/>
    <w:uiPriority w:val="99"/>
    <w:unhideWhenUsed/>
    <w:rsid w:val="005B2BAF"/>
    <w:rPr>
      <w:color w:val="2B579A"/>
      <w:shd w:val="clear" w:color="auto" w:fill="E1DFDD"/>
    </w:rPr>
  </w:style>
  <w:style w:type="character" w:styleId="UnresolvedMention">
    <w:name w:val="Unresolved Mention"/>
    <w:basedOn w:val="DefaultParagraphFont"/>
    <w:uiPriority w:val="99"/>
    <w:semiHidden/>
    <w:unhideWhenUsed/>
    <w:rsid w:val="00141EBB"/>
    <w:rPr>
      <w:color w:val="605E5C"/>
      <w:shd w:val="clear" w:color="auto" w:fill="E1DFDD"/>
    </w:rPr>
  </w:style>
  <w:style w:type="paragraph" w:styleId="BalloonText">
    <w:name w:val="Balloon Text"/>
    <w:basedOn w:val="Normal"/>
    <w:link w:val="BalloonTextChar"/>
    <w:uiPriority w:val="99"/>
    <w:semiHidden/>
    <w:unhideWhenUsed/>
    <w:rsid w:val="00C22F3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2F36"/>
    <w:rPr>
      <w:rFonts w:ascii="Segoe UI" w:hAnsi="Segoe UI" w:cs="Segoe UI"/>
      <w:sz w:val="18"/>
      <w:szCs w:val="18"/>
    </w:rPr>
  </w:style>
  <w:style w:type="table" w:styleId="TableGrid">
    <w:name w:val="Table Grid"/>
    <w:basedOn w:val="TableNormal"/>
    <w:uiPriority w:val="39"/>
    <w:rsid w:val="005A2B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510D92"/>
    <w:rPr>
      <w:b/>
      <w:bCs/>
    </w:rPr>
  </w:style>
  <w:style w:type="paragraph" w:styleId="DLSimpleText-12cm" w:customStyle="1">
    <w:name w:val="DL Simple Text -1.2cm"/>
    <w:basedOn w:val="Normal"/>
    <w:uiPriority w:val="14"/>
    <w:qFormat/>
    <w:rsid w:val="001F78BC"/>
    <w:pPr>
      <w:spacing w:after="180" w:line="300" w:lineRule="atLeast"/>
      <w:ind w:left="680"/>
    </w:pPr>
    <w:rPr>
      <w:rFonts w:ascii="Verdana" w:hAnsi="Verdana" w:eastAsia="Times New Roman" w:cs="Times New Roman"/>
      <w:sz w:val="18"/>
      <w:szCs w:val="18"/>
      <w:lang w:val="en-US" w:eastAsia="de-DE"/>
    </w:rPr>
  </w:style>
  <w:style w:type="paragraph" w:styleId="NormalWeb">
    <w:name w:val="Normal (Web)"/>
    <w:basedOn w:val="Normal"/>
    <w:uiPriority w:val="99"/>
    <w:semiHidden/>
    <w:unhideWhenUsed/>
    <w:rsid w:val="009D6F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7926">
      <w:bodyDiv w:val="1"/>
      <w:marLeft w:val="0"/>
      <w:marRight w:val="0"/>
      <w:marTop w:val="0"/>
      <w:marBottom w:val="0"/>
      <w:divBdr>
        <w:top w:val="none" w:sz="0" w:space="0" w:color="auto"/>
        <w:left w:val="none" w:sz="0" w:space="0" w:color="auto"/>
        <w:bottom w:val="none" w:sz="0" w:space="0" w:color="auto"/>
        <w:right w:val="none" w:sz="0" w:space="0" w:color="auto"/>
      </w:divBdr>
    </w:div>
    <w:div w:id="398867252">
      <w:bodyDiv w:val="1"/>
      <w:marLeft w:val="0"/>
      <w:marRight w:val="0"/>
      <w:marTop w:val="0"/>
      <w:marBottom w:val="0"/>
      <w:divBdr>
        <w:top w:val="none" w:sz="0" w:space="0" w:color="auto"/>
        <w:left w:val="none" w:sz="0" w:space="0" w:color="auto"/>
        <w:bottom w:val="none" w:sz="0" w:space="0" w:color="auto"/>
        <w:right w:val="none" w:sz="0" w:space="0" w:color="auto"/>
      </w:divBdr>
    </w:div>
    <w:div w:id="1060058951">
      <w:bodyDiv w:val="1"/>
      <w:marLeft w:val="0"/>
      <w:marRight w:val="0"/>
      <w:marTop w:val="0"/>
      <w:marBottom w:val="0"/>
      <w:divBdr>
        <w:top w:val="none" w:sz="0" w:space="0" w:color="auto"/>
        <w:left w:val="none" w:sz="0" w:space="0" w:color="auto"/>
        <w:bottom w:val="none" w:sz="0" w:space="0" w:color="auto"/>
        <w:right w:val="none" w:sz="0" w:space="0" w:color="auto"/>
      </w:divBdr>
    </w:div>
    <w:div w:id="15192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19/05/relationships/documenttasks" Target="documenttasks/documenttasks1.xml" Id="rId19" /><Relationship Type="http://schemas.openxmlformats.org/officeDocument/2006/relationships/customXml" Target="../customXml/item4.xml" Id="rId4" /><Relationship Type="http://schemas.openxmlformats.org/officeDocument/2006/relationships/footnotes" Target="footnotes.xml" Id="rId9" /></Relationships>
</file>

<file path=word/documenttasks/documenttasks1.xml><?xml version="1.0" encoding="utf-8"?>
<t:Tasks xmlns:t="http://schemas.microsoft.com/office/tasks/2019/documenttasks" xmlns:oel="http://schemas.microsoft.com/office/2019/extlst">
  <t:Task id="{AC8CE706-A3FE-B245-BD87-B738FA53C256}">
    <t:Anchor>
      <t:Comment id="514340138"/>
    </t:Anchor>
    <t:History>
      <t:Event id="{1B1C235E-EFFA-5447-AABE-81CBFA560F9D}" time="2025-02-24T13:00:30.786Z">
        <t:Attribution userId="S::p.scholtys@onecrowd.de::96572e6c-244c-44d0-bf04-e38091425b97" userProvider="AD" userName="Pascal Scholtys | OneCrowd"/>
        <t:Anchor>
          <t:Comment id="514340138"/>
        </t:Anchor>
        <t:Create/>
      </t:Event>
      <t:Event id="{4750D99B-A760-F948-909D-417779318A7C}" time="2025-02-24T13:00:30.786Z">
        <t:Attribution userId="S::p.scholtys@onecrowd.de::96572e6c-244c-44d0-bf04-e38091425b97" userProvider="AD" userName="Pascal Scholtys | OneCrowd"/>
        <t:Anchor>
          <t:Comment id="514340138"/>
        </t:Anchor>
        <t:Assign userId="S::r.gleibs@onecrowd.de::46438b3a-2fa8-4e34-8ac5-d08794f275f9" userProvider="AD" userName="Robert Gleibs | OneCrowd"/>
      </t:Event>
      <t:Event id="{A4B0D9AD-EC39-BD4F-AC79-3437BC9B5906}" time="2025-02-24T13:00:30.786Z">
        <t:Attribution userId="S::p.scholtys@onecrowd.de::96572e6c-244c-44d0-bf04-e38091425b97" userProvider="AD" userName="Pascal Scholtys | OneCrowd"/>
        <t:Anchor>
          <t:Comment id="514340138"/>
        </t:Anchor>
        <t:SetTitle title="@Robert Gleibs | OneCrowd Einzeleintragung?"/>
      </t:Event>
    </t:History>
  </t:Task>
</t:Task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4F95DE0B999E40B33ADABF8021B0A5" ma:contentTypeVersion="21" ma:contentTypeDescription="Ein neues Dokument erstellen." ma:contentTypeScope="" ma:versionID="3b32f1da6729afafb03356df34fdfdfb">
  <xsd:schema xmlns:xsd="http://www.w3.org/2001/XMLSchema" xmlns:xs="http://www.w3.org/2001/XMLSchema" xmlns:p="http://schemas.microsoft.com/office/2006/metadata/properties" xmlns:ns2="88b58d6a-a155-4052-9cf3-20fae894f10d" xmlns:ns3="b00b24e4-2db5-44c2-8e99-5f3617764152" targetNamespace="http://schemas.microsoft.com/office/2006/metadata/properties" ma:root="true" ma:fieldsID="9d4b0ea1ed113d68042b9266ae2cc1bd" ns2:_="" ns3:_="">
    <xsd:import namespace="88b58d6a-a155-4052-9cf3-20fae894f10d"/>
    <xsd:import namespace="b00b24e4-2db5-44c2-8e99-5f3617764152"/>
    <xsd:element name="properties">
      <xsd:complexType>
        <xsd:sequence>
          <xsd:element name="documentManagement">
            <xsd:complexType>
              <xsd:all>
                <xsd:element ref="ns2:Personen"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Zugriff"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58d6a-a155-4052-9cf3-20fae894f10d" elementFormDefault="qualified">
    <xsd:import namespace="http://schemas.microsoft.com/office/2006/documentManagement/types"/>
    <xsd:import namespace="http://schemas.microsoft.com/office/infopath/2007/PartnerControls"/>
    <xsd:element name="Personen" ma:index="8" nillable="true" ma:displayName="Personen" ma:format="Dropdown" ma:list="UserInfo" ma:SharePointGroup="0" ma:internalName="Person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Zugriff" ma:index="17" nillable="true" ma:displayName="Zugriff" ma:format="Dropdown" ma:list="UserInfo" ma:SharePointGroup="0" ma:internalName="Zugri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3ee6202d-1b92-439a-8df1-3621cb356c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0b24e4-2db5-44c2-8e99-5f3617764152"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df7ef3e5-ff3b-4b3c-9e8f-5b01faa8f059}" ma:internalName="TaxCatchAll" ma:showField="CatchAllData" ma:web="b00b24e4-2db5-44c2-8e99-5f361776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Zugriff xmlns="88b58d6a-a155-4052-9cf3-20fae894f10d">
      <UserInfo>
        <DisplayName/>
        <AccountId xsi:nil="true"/>
        <AccountType/>
      </UserInfo>
    </Zugriff>
    <TaxCatchAll xmlns="b00b24e4-2db5-44c2-8e99-5f3617764152" xsi:nil="true"/>
    <Personen xmlns="88b58d6a-a155-4052-9cf3-20fae894f10d">
      <UserInfo>
        <DisplayName/>
        <AccountId xsi:nil="true"/>
        <AccountType/>
      </UserInfo>
    </Personen>
    <lcf76f155ced4ddcb4097134ff3c332f xmlns="88b58d6a-a155-4052-9cf3-20fae894f1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6A077A-9B2D-41D2-ACA2-AA5B39861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58d6a-a155-4052-9cf3-20fae894f10d"/>
    <ds:schemaRef ds:uri="b00b24e4-2db5-44c2-8e99-5f3617764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601A0-D3E3-4B6E-BBC0-A248D513A2A6}">
  <ds:schemaRefs>
    <ds:schemaRef ds:uri="http://schemas.microsoft.com/sharepoint/v3/contenttype/forms"/>
  </ds:schemaRefs>
</ds:datastoreItem>
</file>

<file path=customXml/itemProps3.xml><?xml version="1.0" encoding="utf-8"?>
<ds:datastoreItem xmlns:ds="http://schemas.openxmlformats.org/officeDocument/2006/customXml" ds:itemID="{E312F2C3-8931-46BD-88CB-3C445BC51272}">
  <ds:schemaRefs>
    <ds:schemaRef ds:uri="http://schemas.openxmlformats.org/officeDocument/2006/bibliography"/>
  </ds:schemaRefs>
</ds:datastoreItem>
</file>

<file path=customXml/itemProps4.xml><?xml version="1.0" encoding="utf-8"?>
<ds:datastoreItem xmlns:ds="http://schemas.openxmlformats.org/officeDocument/2006/customXml" ds:itemID="{E68A85FD-5D9C-4BFD-97F0-97E977DD9B83}">
  <ds:schemaRefs>
    <ds:schemaRef ds:uri="http://schemas.microsoft.com/office/2006/metadata/properties"/>
    <ds:schemaRef ds:uri="http://schemas.microsoft.com/office/infopath/2007/PartnerControls"/>
    <ds:schemaRef ds:uri="88b58d6a-a155-4052-9cf3-20fae894f10d"/>
    <ds:schemaRef ds:uri="b00b24e4-2db5-44c2-8e99-5f3617764152"/>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KaRAG</dc:creator>
  <keywords/>
  <dc:description/>
  <lastModifiedBy>Leif Schulz</lastModifiedBy>
  <revision>119</revision>
  <lastPrinted>2025-04-05T03:41:00.0000000Z</lastPrinted>
  <dcterms:created xsi:type="dcterms:W3CDTF">2025-10-10T03:26:00.0000000Z</dcterms:created>
  <dcterms:modified xsi:type="dcterms:W3CDTF">2025-10-28T11:47:21.9775431Z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0x0101000B4F95DE0B999E40B33ADABF8021B0A5</vt:lpwstr>
  </property>
  <property fmtid="{D5CDD505-2E9C-101B-9397-08002B2CF9AE}" pid="3" name="MediaServiceImageTags">
    <vt:lpwstr/>
  </property>
  <property fmtid="{D5CDD505-2E9C-101B-9397-08002B2CF9AE}" pid="4" name="43b072f0-0f82-4aac-be1e-8abeffc32f66">
    <vt:bool>false</vt:bool>
  </property>
</Properties>
</file>